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Almudaya Quantum Labs — Remote Work, Hardware Stipend &amp; AI Governance Policy (2026)</w:t>
      </w:r>
    </w:p>
    <w:p>
      <w:r>
        <w:t>Document ID: AQL-POL-2026-04 | Effective Date: October 1, 2026 | Owner: People &amp; Security Operations</w:t>
      </w:r>
    </w:p>
    <w:p>
      <w:r>
        <w:t>1. Hybrid &amp; Remote Work Schedule</w:t>
      </w:r>
    </w:p>
    <w:p>
      <w:r>
        <w:t>All full-time engineers and researchers may work remotely up to 4 days per week. Core synchronous collaboration hours are 10:00 to 15:00 WIB from Monday through Thursday. Fridays are designated as Focus &amp; Deep-Work Days with no mandatory internal meetings. Employees may work from outside their home country for up to 30 calendar days per year, provided they obtain written approval from their Vice President at least 14 calendar days before departure.</w:t>
      </w:r>
    </w:p>
    <w:p>
      <w:r>
        <w:t>2. Home Office &amp; AI Hardware Stipend</w:t>
      </w:r>
    </w:p>
    <w:p>
      <w:r>
        <w:t>Every employee receives an annual Home Office &amp; Edge AI Stipend of USD 1,200 per calendar year. Eligible purchases include ergonomic chairs, external monitors, mechanical keyboards, and local AI hardware accelerators (such as Intel NPU laptops, eGPUs, or RAM upgrades). Original itemized receipts are required for any item costing USD 30 or more. Approved claims are reimbursed within 7 business days.</w:t>
      </w:r>
    </w:p>
    <w:p>
      <w:r>
        <w:t>3. Data Privacy &amp; Local AI Runtime Governance</w:t>
      </w:r>
    </w:p>
    <w:p>
      <w:r>
        <w:t>Strictly confidential client documents, proprietary quantum algorithms, and production credentials must never be uploaded to unverified public consumer chatbots. Engineers must process sensitive documents using either AQRuntime in 100% Offline Local Mode or the organization's isolated Google Cloud Run WorkDoc instance. Any suspected data exposure or lost device must be reported to the Security Response Team (security@almudaya.id) within 2 hours of discovery.</w:t>
      </w:r>
    </w:p>
    <w:p>
      <w:r>
        <w:t>4. Professional Development &amp; Conference Budget</w:t>
      </w:r>
    </w:p>
    <w:p>
      <w:r>
        <w:t>Employees are eligible for an additional USD 800 annual learning budget for cloud certifications, scientific publications, or AI conferences. To claim this budget, employees must get manager approval before registration and deliver a 15-minute knowledge-sharing presentation to their team within 14 days after completing the course or conference.</w:t>
      </w:r>
    </w:p>
  </w:body>
</w:document>
</file>