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9C6C11"/>
          <w:spacing w:val="40"/>
          <w:sz w:val="20"/>
          <w:szCs w:val="20"/>
        </w:rPr>
        <w:t xml:space="preserve">THE MILLENNIALS INSTITUTE</w:t>
      </w:r>
    </w:p>
    <w:p>
      <w:pPr>
        <w:pBdr>
          <w:bottom w:val="single" w:color="C0891F" w:sz="12" w:space="8"/>
        </w:pBdr>
        <w:spacing w:after="700"/>
      </w:pPr>
      <w:r>
        <w:rPr>
          <w:rFonts w:ascii="Cambria" w:cs="Cambria" w:eastAsia="Cambria" w:hAnsi="Cambria"/>
          <w:i/>
          <w:iCs/>
          <w:color w:val="5C6B7E"/>
          <w:sz w:val="19"/>
          <w:szCs w:val="19"/>
        </w:rPr>
        <w:t xml:space="preserve">Developing Human For Better Futures</w:t>
      </w:r>
    </w:p>
    <w:p>
      <w:pPr>
        <w:spacing w:after="100"/>
      </w:pPr>
      <w:r>
        <w:rPr>
          <w:rFonts w:ascii="Calibri" w:cs="Calibri" w:eastAsia="Calibri" w:hAnsi="Calibri"/>
          <w:b/>
          <w:bCs/>
          <w:color w:val="9C6C11"/>
          <w:spacing w:val="30"/>
          <w:sz w:val="20"/>
          <w:szCs w:val="20"/>
        </w:rPr>
        <w:t xml:space="preserve">DOK-00</w:t>
      </w:r>
    </w:p>
    <w:p>
      <w:pPr>
        <w:spacing w:after="100"/>
        <w:jc w:val="left"/>
      </w:pPr>
      <w:r>
        <w:rPr>
          <w:rFonts w:ascii="Cambria" w:cs="Cambria" w:eastAsia="Cambria" w:hAnsi="Cambria"/>
          <w:b/>
          <w:bCs/>
          <w:color w:val="13366B"/>
          <w:sz w:val="44"/>
          <w:szCs w:val="44"/>
        </w:rPr>
        <w:t xml:space="preserve">MASTER PLAN</w:t>
      </w:r>
    </w:p>
    <w:p>
      <w:pPr>
        <w:spacing w:after="500"/>
      </w:pPr>
      <w:r>
        <w:rPr>
          <w:rFonts w:ascii="Cambria" w:cs="Cambria" w:eastAsia="Cambria" w:hAnsi="Cambria"/>
          <w:color w:val="5C6B7E"/>
          <w:sz w:val="24"/>
          <w:szCs w:val="24"/>
        </w:rPr>
        <w:t xml:space="preserve">Rencana Eksekusi Program Dokumentasi &amp; Arsitektur</w:t>
      </w:r>
    </w:p>
    <w:p>
      <w:pPr>
        <w:spacing w:after="60"/>
      </w:pPr>
      <w:r>
        <w:rPr>
          <w:rFonts w:ascii="Cambria" w:cs="Cambria" w:eastAsia="Cambria" w:hAnsi="Cambria"/>
          <w:b/>
          <w:bCs/>
          <w:color w:val="1E5AA8"/>
          <w:sz w:val="32"/>
          <w:szCs w:val="32"/>
        </w:rPr>
        <w:t xml:space="preserve">ICOP GRC PLATFORM</w:t>
      </w:r>
    </w:p>
    <w:p>
      <w:pPr>
        <w:spacing w:after="900"/>
      </w:pPr>
      <w:r>
        <w:rPr>
          <w:rFonts w:ascii="Calibri" w:cs="Calibri" w:eastAsia="Calibri" w:hAnsi="Calibri"/>
          <w:i/>
          <w:iCs/>
          <w:color w:val="5C6B7E"/>
          <w:sz w:val="19"/>
          <w:szCs w:val="19"/>
        </w:rPr>
        <w:t xml:space="preserve">Integrated Governance, Risk, Audit &amp; Compliance Platform  ·  Modul Utama: ICOFR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DOK-00</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 / Status</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 / Baseline</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Disusun oleh</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The Millennials Institute — Tim Arsitektur &amp; Solusi GRC</w:t>
            </w:r>
          </w:p>
        </w:tc>
      </w:tr>
      <w:tr>
        <w:tc>
          <w:tcPr>
            <w:tcW w:type="dxa" w:w="252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49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 — Internal Use Only</w:t>
            </w:r>
          </w:p>
        </w:tc>
      </w:tr>
    </w:tbl>
    <w:p>
      <w:pPr>
        <w:spacing w:before="700"/>
        <w:jc w:val="center"/>
      </w:pPr>
      <w:r>
        <w:rPr>
          <w:rFonts w:ascii="Calibri" w:cs="Calibri" w:eastAsia="Calibri" w:hAnsi="Calibri"/>
          <w:i/>
          <w:iCs/>
          <w:color w:val="5C6B7E"/>
          <w:sz w:val="16"/>
          <w:szCs w:val="16"/>
        </w:rPr>
        <w:t xml:space="preserve">Dokumen ini bersifat rahasia. Dilarang menggandakan, mendistribusikan, atau mengungkapkan isinya kepada pihak ketiga tanpa persetujuan tertulis.</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DAFTAR ISI</w:t>
      </w:r>
    </w:p>
    <w:p>
      <w:pPr>
        <w:tabs>
          <w:tab w:val="right" w:pos="9026" w:leader="dot"/>
        </w:tabs>
        <w:spacing w:after="60" w:line="264"/>
        <w:ind w:left="0"/>
      </w:pPr>
      <w:r>
        <w:rPr>
          <w:rFonts w:ascii="Calibri" w:cs="Calibri" w:eastAsia="Calibri" w:hAnsi="Calibri"/>
          <w:b/>
          <w:bCs/>
          <w:color w:val="13366B"/>
          <w:sz w:val="20"/>
          <w:szCs w:val="20"/>
        </w:rPr>
        <w:t xml:space="preserve">KENDALI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3</w:t>
      </w:r>
    </w:p>
    <w:p>
      <w:pPr>
        <w:tabs>
          <w:tab w:val="right" w:pos="9026" w:leader="dot"/>
        </w:tabs>
        <w:spacing w:after="60" w:line="264"/>
        <w:ind w:left="0"/>
      </w:pPr>
      <w:r>
        <w:rPr>
          <w:rFonts w:ascii="Calibri" w:cs="Calibri" w:eastAsia="Calibri" w:hAnsi="Calibri"/>
          <w:b/>
          <w:bCs/>
          <w:color w:val="13366B"/>
          <w:sz w:val="20"/>
          <w:szCs w:val="20"/>
        </w:rPr>
        <w:t xml:space="preserve">1. PENDAHULUAN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4</w:t>
      </w:r>
    </w:p>
    <w:p>
      <w:pPr>
        <w:tabs>
          <w:tab w:val="right" w:pos="9026" w:leader="dot"/>
        </w:tabs>
        <w:spacing w:after="30" w:line="264"/>
        <w:ind w:left="340"/>
      </w:pPr>
      <w:r>
        <w:rPr>
          <w:rFonts w:ascii="Calibri" w:cs="Calibri" w:eastAsia="Calibri" w:hAnsi="Calibri"/>
          <w:b w:val="false"/>
          <w:bCs w:val="false"/>
          <w:color w:val="20293A"/>
          <w:sz w:val="19"/>
          <w:szCs w:val="19"/>
        </w:rPr>
        <w:t xml:space="preserve">1.1 Latar Belakang</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4</w:t>
      </w:r>
    </w:p>
    <w:p>
      <w:pPr>
        <w:tabs>
          <w:tab w:val="right" w:pos="9026" w:leader="dot"/>
        </w:tabs>
        <w:spacing w:after="30" w:line="264"/>
        <w:ind w:left="340"/>
      </w:pPr>
      <w:r>
        <w:rPr>
          <w:rFonts w:ascii="Calibri" w:cs="Calibri" w:eastAsia="Calibri" w:hAnsi="Calibri"/>
          <w:b w:val="false"/>
          <w:bCs w:val="false"/>
          <w:color w:val="20293A"/>
          <w:sz w:val="19"/>
          <w:szCs w:val="19"/>
        </w:rPr>
        <w:t xml:space="preserve">1.2 Tujuan Master Plan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4</w:t>
      </w:r>
    </w:p>
    <w:p>
      <w:pPr>
        <w:tabs>
          <w:tab w:val="right" w:pos="9026" w:leader="dot"/>
        </w:tabs>
        <w:spacing w:after="30" w:line="264"/>
        <w:ind w:left="340"/>
      </w:pPr>
      <w:r>
        <w:rPr>
          <w:rFonts w:ascii="Calibri" w:cs="Calibri" w:eastAsia="Calibri" w:hAnsi="Calibri"/>
          <w:b w:val="false"/>
          <w:bCs w:val="false"/>
          <w:color w:val="20293A"/>
          <w:sz w:val="19"/>
          <w:szCs w:val="19"/>
        </w:rPr>
        <w:t xml:space="preserve">1.3 Ruang Lingkup &amp; Batasan Keluaran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30" w:line="264"/>
        <w:ind w:left="340"/>
      </w:pPr>
      <w:r>
        <w:rPr>
          <w:rFonts w:ascii="Calibri" w:cs="Calibri" w:eastAsia="Calibri" w:hAnsi="Calibri"/>
          <w:b w:val="false"/>
          <w:bCs w:val="false"/>
          <w:color w:val="20293A"/>
          <w:sz w:val="19"/>
          <w:szCs w:val="19"/>
        </w:rPr>
        <w:t xml:space="preserve">1.4 Rujukan Standar &amp; Regulasi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5</w:t>
      </w:r>
    </w:p>
    <w:p>
      <w:pPr>
        <w:tabs>
          <w:tab w:val="right" w:pos="9026" w:leader="dot"/>
        </w:tabs>
        <w:spacing w:after="60" w:line="264"/>
        <w:ind w:left="0"/>
      </w:pPr>
      <w:r>
        <w:rPr>
          <w:rFonts w:ascii="Calibri" w:cs="Calibri" w:eastAsia="Calibri" w:hAnsi="Calibri"/>
          <w:b/>
          <w:bCs/>
          <w:color w:val="13366B"/>
          <w:sz w:val="20"/>
          <w:szCs w:val="20"/>
        </w:rPr>
        <w:t xml:space="preserve">2. GAMBARAN PRODUK</w:t>
      </w:r>
      <w:r>
        <w:rPr>
          <w:rFonts w:ascii="Calibri" w:cs="Calibri" w:eastAsia="Calibri" w:hAnsi="Calibri"/>
          <w:color w:val="D3DCEA"/>
          <w:sz w:val="19"/>
          <w:szCs w:val="19"/>
        </w:rPr>
        <w:tab/>
      </w:r>
      <w:r>
        <w:rPr>
          <w:rFonts w:ascii="Calibri" w:cs="Calibri" w:eastAsia="Calibri" w:hAnsi="Calibri"/>
          <w:b/>
          <w:bCs/>
          <w:color w:val="13366B"/>
          <w:sz w:val="19"/>
          <w:szCs w:val="19"/>
        </w:rPr>
        <w:t xml:space="preserve">6</w:t>
      </w:r>
    </w:p>
    <w:p>
      <w:pPr>
        <w:tabs>
          <w:tab w:val="right" w:pos="9026" w:leader="dot"/>
        </w:tabs>
        <w:spacing w:after="30" w:line="264"/>
        <w:ind w:left="340"/>
      </w:pPr>
      <w:r>
        <w:rPr>
          <w:rFonts w:ascii="Calibri" w:cs="Calibri" w:eastAsia="Calibri" w:hAnsi="Calibri"/>
          <w:b w:val="false"/>
          <w:bCs w:val="false"/>
          <w:color w:val="20293A"/>
          <w:sz w:val="19"/>
          <w:szCs w:val="19"/>
        </w:rPr>
        <w:t xml:space="preserve">2.1 Definisi &amp; Proposisi Nilai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6</w:t>
      </w:r>
    </w:p>
    <w:p>
      <w:pPr>
        <w:tabs>
          <w:tab w:val="right" w:pos="9026" w:leader="dot"/>
        </w:tabs>
        <w:spacing w:after="30" w:line="264"/>
        <w:ind w:left="340"/>
      </w:pPr>
      <w:r>
        <w:rPr>
          <w:rFonts w:ascii="Calibri" w:cs="Calibri" w:eastAsia="Calibri" w:hAnsi="Calibri"/>
          <w:b w:val="false"/>
          <w:bCs w:val="false"/>
          <w:color w:val="20293A"/>
          <w:sz w:val="19"/>
          <w:szCs w:val="19"/>
        </w:rPr>
        <w:t xml:space="preserve">2.2 Peta Modul Platform</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6</w:t>
      </w:r>
    </w:p>
    <w:p>
      <w:pPr>
        <w:tabs>
          <w:tab w:val="right" w:pos="9026" w:leader="dot"/>
        </w:tabs>
        <w:spacing w:after="30" w:line="264"/>
        <w:ind w:left="340"/>
      </w:pPr>
      <w:r>
        <w:rPr>
          <w:rFonts w:ascii="Calibri" w:cs="Calibri" w:eastAsia="Calibri" w:hAnsi="Calibri"/>
          <w:b w:val="false"/>
          <w:bCs w:val="false"/>
          <w:color w:val="20293A"/>
          <w:sz w:val="19"/>
          <w:szCs w:val="19"/>
        </w:rPr>
        <w:t xml:space="preserve">2.3 Prinsip Arsitektur</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7</w:t>
      </w:r>
    </w:p>
    <w:p>
      <w:pPr>
        <w:tabs>
          <w:tab w:val="right" w:pos="9026" w:leader="dot"/>
        </w:tabs>
        <w:spacing w:after="60" w:line="264"/>
        <w:ind w:left="0"/>
      </w:pPr>
      <w:r>
        <w:rPr>
          <w:rFonts w:ascii="Calibri" w:cs="Calibri" w:eastAsia="Calibri" w:hAnsi="Calibri"/>
          <w:b/>
          <w:bCs/>
          <w:color w:val="13366B"/>
          <w:sz w:val="20"/>
          <w:szCs w:val="20"/>
        </w:rPr>
        <w:t xml:space="preserve">3. KATALOG DELIVERABLE</w:t>
      </w:r>
      <w:r>
        <w:rPr>
          <w:rFonts w:ascii="Calibri" w:cs="Calibri" w:eastAsia="Calibri" w:hAnsi="Calibri"/>
          <w:color w:val="D3DCEA"/>
          <w:sz w:val="19"/>
          <w:szCs w:val="19"/>
        </w:rPr>
        <w:tab/>
      </w:r>
      <w:r>
        <w:rPr>
          <w:rFonts w:ascii="Calibri" w:cs="Calibri" w:eastAsia="Calibri" w:hAnsi="Calibri"/>
          <w:b/>
          <w:bCs/>
          <w:color w:val="13366B"/>
          <w:sz w:val="19"/>
          <w:szCs w:val="19"/>
        </w:rPr>
        <w:t xml:space="preserve">9</w:t>
      </w:r>
    </w:p>
    <w:p>
      <w:pPr>
        <w:tabs>
          <w:tab w:val="right" w:pos="9026" w:leader="dot"/>
        </w:tabs>
        <w:spacing w:after="30" w:line="264"/>
        <w:ind w:left="340"/>
      </w:pPr>
      <w:r>
        <w:rPr>
          <w:rFonts w:ascii="Calibri" w:cs="Calibri" w:eastAsia="Calibri" w:hAnsi="Calibri"/>
          <w:b w:val="false"/>
          <w:bCs w:val="false"/>
          <w:color w:val="20293A"/>
          <w:sz w:val="19"/>
          <w:szCs w:val="19"/>
        </w:rPr>
        <w:t xml:space="preserve">3.1 Konvensi Penomoran Dokumen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9</w:t>
      </w:r>
    </w:p>
    <w:p>
      <w:pPr>
        <w:tabs>
          <w:tab w:val="right" w:pos="9026" w:leader="dot"/>
        </w:tabs>
        <w:spacing w:after="30" w:line="264"/>
        <w:ind w:left="340"/>
      </w:pPr>
      <w:r>
        <w:rPr>
          <w:rFonts w:ascii="Calibri" w:cs="Calibri" w:eastAsia="Calibri" w:hAnsi="Calibri"/>
          <w:b w:val="false"/>
          <w:bCs w:val="false"/>
          <w:color w:val="20293A"/>
          <w:sz w:val="19"/>
          <w:szCs w:val="19"/>
        </w:rPr>
        <w:t xml:space="preserve">3.2 Katalog 40 Deliverable</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9</w:t>
      </w:r>
    </w:p>
    <w:p>
      <w:pPr>
        <w:tabs>
          <w:tab w:val="right" w:pos="9026" w:leader="dot"/>
        </w:tabs>
        <w:spacing w:after="60" w:line="264"/>
        <w:ind w:left="0"/>
      </w:pPr>
      <w:r>
        <w:rPr>
          <w:rFonts w:ascii="Calibri" w:cs="Calibri" w:eastAsia="Calibri" w:hAnsi="Calibri"/>
          <w:b/>
          <w:bCs/>
          <w:color w:val="13366B"/>
          <w:sz w:val="20"/>
          <w:szCs w:val="20"/>
        </w:rPr>
        <w:t xml:space="preserve">4. RENCANA PRODUKSI BERTAHAP</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11</w:t>
      </w:r>
    </w:p>
    <w:p>
      <w:pPr>
        <w:tabs>
          <w:tab w:val="right" w:pos="9026" w:leader="dot"/>
        </w:tabs>
        <w:spacing w:after="30" w:line="264"/>
        <w:ind w:left="340"/>
      </w:pPr>
      <w:r>
        <w:rPr>
          <w:rFonts w:ascii="Calibri" w:cs="Calibri" w:eastAsia="Calibri" w:hAnsi="Calibri"/>
          <w:b w:val="false"/>
          <w:bCs w:val="false"/>
          <w:color w:val="20293A"/>
          <w:sz w:val="19"/>
          <w:szCs w:val="19"/>
        </w:rPr>
        <w:t xml:space="preserve">4.1 Peta Batch B0 sampai B11</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11</w:t>
      </w:r>
    </w:p>
    <w:p>
      <w:pPr>
        <w:tabs>
          <w:tab w:val="right" w:pos="9026" w:leader="dot"/>
        </w:tabs>
        <w:spacing w:after="30" w:line="264"/>
        <w:ind w:left="340"/>
      </w:pPr>
      <w:r>
        <w:rPr>
          <w:rFonts w:ascii="Calibri" w:cs="Calibri" w:eastAsia="Calibri" w:hAnsi="Calibri"/>
          <w:b w:val="false"/>
          <w:bCs w:val="false"/>
          <w:color w:val="20293A"/>
          <w:sz w:val="19"/>
          <w:szCs w:val="19"/>
        </w:rPr>
        <w:t xml:space="preserve">4.2 Rantai Ketergantungan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12</w:t>
      </w:r>
    </w:p>
    <w:p>
      <w:pPr>
        <w:tabs>
          <w:tab w:val="right" w:pos="9026" w:leader="dot"/>
        </w:tabs>
        <w:spacing w:after="30" w:line="264"/>
        <w:ind w:left="340"/>
      </w:pPr>
      <w:r>
        <w:rPr>
          <w:rFonts w:ascii="Calibri" w:cs="Calibri" w:eastAsia="Calibri" w:hAnsi="Calibri"/>
          <w:b w:val="false"/>
          <w:bCs w:val="false"/>
          <w:color w:val="20293A"/>
          <w:sz w:val="19"/>
          <w:szCs w:val="19"/>
        </w:rPr>
        <w:t xml:space="preserve">4.3 Jadwal Indikatif</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12</w:t>
      </w:r>
    </w:p>
    <w:p>
      <w:pPr>
        <w:tabs>
          <w:tab w:val="right" w:pos="9026" w:leader="dot"/>
        </w:tabs>
        <w:spacing w:after="60" w:line="264"/>
        <w:ind w:left="0"/>
      </w:pPr>
      <w:r>
        <w:rPr>
          <w:rFonts w:ascii="Calibri" w:cs="Calibri" w:eastAsia="Calibri" w:hAnsi="Calibri"/>
          <w:b/>
          <w:bCs/>
          <w:color w:val="13366B"/>
          <w:sz w:val="20"/>
          <w:szCs w:val="20"/>
        </w:rPr>
        <w:t xml:space="preserve">5. STANDAR MUTU DOKUMEN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5.1 Definition of Done</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5.2 Penamaan Berkas &amp; Versioning</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5.3 Konvensi Penomoran Kebutuhan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13</w:t>
      </w:r>
    </w:p>
    <w:p>
      <w:pPr>
        <w:tabs>
          <w:tab w:val="right" w:pos="9026" w:leader="dot"/>
        </w:tabs>
        <w:spacing w:after="30" w:line="264"/>
        <w:ind w:left="340"/>
      </w:pPr>
      <w:r>
        <w:rPr>
          <w:rFonts w:ascii="Calibri" w:cs="Calibri" w:eastAsia="Calibri" w:hAnsi="Calibri"/>
          <w:b w:val="false"/>
          <w:bCs w:val="false"/>
          <w:color w:val="20293A"/>
          <w:sz w:val="19"/>
          <w:szCs w:val="19"/>
        </w:rPr>
        <w:t xml:space="preserve">5.4 Rantai Ketertelusuran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14</w:t>
      </w:r>
    </w:p>
    <w:p>
      <w:pPr>
        <w:tabs>
          <w:tab w:val="right" w:pos="9026" w:leader="dot"/>
        </w:tabs>
        <w:spacing w:after="60" w:line="264"/>
        <w:ind w:left="0"/>
      </w:pPr>
      <w:r>
        <w:rPr>
          <w:rFonts w:ascii="Calibri" w:cs="Calibri" w:eastAsia="Calibri" w:hAnsi="Calibri"/>
          <w:b/>
          <w:bCs/>
          <w:color w:val="13366B"/>
          <w:sz w:val="20"/>
          <w:szCs w:val="20"/>
        </w:rPr>
        <w:t xml:space="preserve">6. TATA KELOLA PRODUKSI</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6.1 Peran &amp; Matriks RACI</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30" w:line="264"/>
        <w:ind w:left="340"/>
      </w:pPr>
      <w:r>
        <w:rPr>
          <w:rFonts w:ascii="Calibri" w:cs="Calibri" w:eastAsia="Calibri" w:hAnsi="Calibri"/>
          <w:b w:val="false"/>
          <w:bCs w:val="false"/>
          <w:color w:val="20293A"/>
          <w:sz w:val="19"/>
          <w:szCs w:val="19"/>
        </w:rPr>
        <w:t xml:space="preserve">6.2 Alur Reviu &amp; Persetujuan</w:t>
      </w:r>
      <w:r>
        <w:rPr>
          <w:rFonts w:ascii="Calibri" w:cs="Calibri" w:eastAsia="Calibri" w:hAnsi="Calibri"/>
          <w:color w:val="D3DCEA"/>
          <w:sz w:val="19"/>
          <w:szCs w:val="19"/>
        </w:rPr>
        <w:tab/>
      </w:r>
      <w:r>
        <w:rPr>
          <w:rFonts w:ascii="Calibri" w:cs="Calibri" w:eastAsia="Calibri" w:hAnsi="Calibri"/>
          <w:b w:val="false"/>
          <w:bCs w:val="false"/>
          <w:color w:val="5C6B7E"/>
          <w:sz w:val="19"/>
          <w:szCs w:val="19"/>
        </w:rPr>
        <w:t xml:space="preserve">15</w:t>
      </w:r>
    </w:p>
    <w:p>
      <w:pPr>
        <w:tabs>
          <w:tab w:val="right" w:pos="9026" w:leader="dot"/>
        </w:tabs>
        <w:spacing w:after="60" w:line="264"/>
        <w:ind w:left="0"/>
      </w:pPr>
      <w:r>
        <w:rPr>
          <w:rFonts w:ascii="Calibri" w:cs="Calibri" w:eastAsia="Calibri" w:hAnsi="Calibri"/>
          <w:b/>
          <w:bCs/>
          <w:color w:val="13366B"/>
          <w:sz w:val="20"/>
          <w:szCs w:val="20"/>
        </w:rPr>
        <w:t xml:space="preserve">7. ASUMSI, BATASAN &amp; RISIKO PROGRAM</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16</w:t>
      </w:r>
    </w:p>
    <w:p>
      <w:pPr>
        <w:tabs>
          <w:tab w:val="right" w:pos="9026" w:leader="dot"/>
        </w:tabs>
        <w:spacing w:after="60" w:line="264"/>
        <w:ind w:left="0"/>
      </w:pPr>
      <w:r>
        <w:rPr>
          <w:rFonts w:ascii="Calibri" w:cs="Calibri" w:eastAsia="Calibri" w:hAnsi="Calibri"/>
          <w:b/>
          <w:bCs/>
          <w:color w:val="13366B"/>
          <w:sz w:val="20"/>
          <w:szCs w:val="20"/>
        </w:rPr>
        <w:t xml:space="preserve">8. GLOSARIUM</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17</w:t>
      </w:r>
    </w:p>
    <w:p>
      <w:pPr>
        <w:tabs>
          <w:tab w:val="right" w:pos="9026" w:leader="dot"/>
        </w:tabs>
        <w:spacing w:after="60" w:line="264"/>
        <w:ind w:left="0"/>
      </w:pPr>
      <w:r>
        <w:rPr>
          <w:rFonts w:ascii="Calibri" w:cs="Calibri" w:eastAsia="Calibri" w:hAnsi="Calibri"/>
          <w:b/>
          <w:bCs/>
          <w:color w:val="13366B"/>
          <w:sz w:val="20"/>
          <w:szCs w:val="20"/>
        </w:rPr>
        <w:t xml:space="preserve">LEMBAR PERSETUJUAN</w:t>
      </w:r>
      <w:r>
        <w:rPr>
          <w:rFonts w:ascii="Calibri" w:cs="Calibri" w:eastAsia="Calibri" w:hAnsi="Calibri"/>
          <w:color w:val="D3DCEA"/>
          <w:sz w:val="19"/>
          <w:szCs w:val="19"/>
        </w:rPr>
        <w:tab/>
      </w:r>
      <w:r>
        <w:rPr>
          <w:rFonts w:ascii="Calibri" w:cs="Calibri" w:eastAsia="Calibri" w:hAnsi="Calibri"/>
          <w:b/>
          <w:bCs/>
          <w:color w:val="13366B"/>
          <w:sz w:val="19"/>
          <w:szCs w:val="19"/>
        </w:rPr>
        <w:t xml:space="preserve">18</w:t>
      </w:r>
    </w:p>
    <w:p>
      <w:r>
        <w:br w:type="page"/>
      </w:r>
    </w:p>
    <w:p>
      <w:pPr>
        <w:pStyle w:val="Heading1"/>
        <w:pBdr>
          <w:bottom w:val="single" w:color="C0891F" w:sz="12" w:space="6"/>
        </w:pBdr>
        <w:spacing w:after="200" w:before="0"/>
      </w:pPr>
      <w:r>
        <w:rPr>
          <w:rFonts w:ascii="Cambria" w:cs="Cambria" w:eastAsia="Cambria" w:hAnsi="Cambria"/>
          <w:b/>
          <w:bCs/>
          <w:color w:val="13366B"/>
          <w:sz w:val="30"/>
          <w:szCs w:val="30"/>
        </w:rPr>
        <w:t xml:space="preserve">KENDALI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6679"/>
      </w:tblGrid>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Nama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Master Plan — Rencana Eksekusi Program Dokumentasi &amp; Arsitektur</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Kode Dokumen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DOK-00</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Produk</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ICOP GRC PLATFORM — Integrated Governance, Risk, Audit &amp; Compliance Platform</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Modul Utama</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ICOFR Management System</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Versi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1.0</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Status</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Baseline (disetujui sebagai dasar produksi batch berikutnya)</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Tanggal Terbit</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12 Juli 2026</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Penyusun</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The Millennials Institute</w:t>
            </w:r>
          </w:p>
        </w:tc>
      </w:tr>
      <w:tr>
        <w:tc>
          <w:tcPr>
            <w:tcW w:type="dxa" w:w="2347"/>
            <w:tcBorders>
              <w:top w:val="single" w:color="D3DCEA" w:sz="2"/>
              <w:left w:val="single" w:color="D3DCEA" w:sz="2"/>
              <w:bottom w:val="single" w:color="D3DCEA" w:sz="2"/>
              <w:right w:val="single" w:color="D3DCEA" w:sz="2"/>
            </w:tcBorders>
            <w:shd w:fill="E6ECF5" w:color="auto" w:val="clear"/>
            <w:tcMar>
              <w:top w:type="dxa" w:w="60"/>
              <w:left w:type="dxa" w:w="100"/>
              <w:bottom w:type="dxa" w:w="60"/>
              <w:right w:type="dxa" w:w="90"/>
            </w:tcMar>
          </w:tcPr>
          <w:p>
            <w:pPr>
              <w:spacing w:after="40" w:before="40" w:line="252"/>
              <w:jc w:val="left"/>
            </w:pPr>
            <w:r>
              <w:rPr>
                <w:rFonts w:ascii="Calibri" w:cs="Calibri" w:eastAsia="Calibri" w:hAnsi="Calibri"/>
                <w:b/>
                <w:bCs/>
                <w:color w:val="13366B"/>
                <w:sz w:val="19"/>
                <w:szCs w:val="19"/>
              </w:rPr>
              <w:t xml:space="preserve">Klasifikasi</w:t>
            </w:r>
          </w:p>
        </w:tc>
        <w:tc>
          <w:tcPr>
            <w:tcW w:type="dxa" w:w="6679"/>
            <w:tcBorders>
              <w:top w:val="single" w:color="D3DCEA" w:sz="2"/>
              <w:left w:val="single" w:color="D3DCEA" w:sz="2"/>
              <w:bottom w:val="single" w:color="D3DCEA" w:sz="2"/>
              <w:right w:val="single" w:color="D3DCEA" w:sz="2"/>
            </w:tcBorders>
            <w:shd w:fill="FFFFFF" w:color="auto" w:val="clear"/>
            <w:tcMar>
              <w:top w:type="dxa" w:w="60"/>
              <w:left w:type="dxa" w:w="100"/>
              <w:bottom w:type="dxa" w:w="60"/>
              <w:right w:type="dxa" w:w="90"/>
            </w:tcMar>
          </w:tcPr>
          <w:p>
            <w:pPr>
              <w:spacing w:after="40" w:before="40" w:line="252"/>
              <w:jc w:val="left"/>
            </w:pPr>
            <w:r>
              <w:rPr>
                <w:rFonts w:ascii="Calibri" w:cs="Calibri" w:eastAsia="Calibri" w:hAnsi="Calibri"/>
                <w:color w:val="20293A"/>
                <w:sz w:val="19"/>
                <w:szCs w:val="19"/>
              </w:rPr>
              <w:t xml:space="preserve">Rahasia &amp; Terbatas</w:t>
            </w:r>
          </w:p>
        </w:tc>
      </w:tr>
    </w:tbl>
    <w:p>
      <w:pPr>
        <w:spacing w:after="240"/>
      </w:pPr>
    </w:p>
    <w:p>
      <w:pPr>
        <w:pStyle w:val="Heading2"/>
        <w:spacing w:after="120" w:before="260"/>
      </w:pPr>
      <w:r>
        <w:rPr>
          <w:rFonts w:ascii="Cambria" w:cs="Cambria" w:eastAsia="Cambria" w:hAnsi="Cambria"/>
          <w:b/>
          <w:bCs/>
          <w:color w:val="1B4A8A"/>
          <w:sz w:val="24"/>
          <w:szCs w:val="24"/>
        </w:rPr>
        <w:t xml:space="preserve">Riwayat Revisi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1444"/>
        <w:gridCol w:w="5235"/>
        <w:gridCol w:w="1444"/>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Versi</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Tanggal</w:t>
            </w:r>
          </w:p>
        </w:tc>
        <w:tc>
          <w:tcPr>
            <w:tcW w:type="dxa" w:w="523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Deskripsi Perubahan</w:t>
            </w:r>
          </w:p>
        </w:tc>
        <w:tc>
          <w:tcPr>
            <w:tcW w:type="dxa" w:w="144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Penyusun</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0.1</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Draf awal — katalog deliverable &amp; rencana batch.</w:t>
            </w:r>
          </w:p>
        </w:tc>
        <w:tc>
          <w:tcPr>
            <w:tcW w:type="dxa" w:w="144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TMI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1.0</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12 Juli 2026</w:t>
            </w:r>
          </w:p>
        </w:tc>
        <w:tc>
          <w:tcPr>
            <w:tcW w:type="dxa" w:w="523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Baseline — katalog 40 deliverable, 12 batch, standar mutu, konvensi penomoran, RACI produksi.</w:t>
            </w:r>
          </w:p>
        </w:tc>
        <w:tc>
          <w:tcPr>
            <w:tcW w:type="dxa" w:w="144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color w:val="20293A"/>
                <w:sz w:val="18"/>
                <w:szCs w:val="18"/>
              </w:rPr>
              <w:t xml:space="preserve">TMI</w:t>
            </w:r>
          </w:p>
        </w:tc>
      </w:tr>
    </w:tbl>
    <w:p>
      <w:pPr>
        <w:spacing w:after="240"/>
      </w:pPr>
    </w:p>
    <w:p>
      <w:pPr>
        <w:pStyle w:val="Heading2"/>
        <w:spacing w:after="120" w:before="260"/>
      </w:pPr>
      <w:r>
        <w:rPr>
          <w:rFonts w:ascii="Cambria" w:cs="Cambria" w:eastAsia="Cambria" w:hAnsi="Cambria"/>
          <w:b/>
          <w:bCs/>
          <w:color w:val="1B4A8A"/>
          <w:sz w:val="24"/>
          <w:szCs w:val="24"/>
        </w:rPr>
        <w:t xml:space="preserve">Daftar Distribusi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5957"/>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595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Tanggung Jawab atas Dokumen Ini</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Sponsor Program (Direksi)</w:t>
            </w:r>
          </w:p>
        </w:tc>
        <w:tc>
          <w:tcPr>
            <w:tcW w:type="dxa" w:w="59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Menyetujui ruang lingkup, katalog deliverable, dan rencana batch.</w:t>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Product Owner / UKK ICOFR</w:t>
            </w:r>
          </w:p>
        </w:tc>
        <w:tc>
          <w:tcPr>
            <w:tcW w:type="dxa" w:w="59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Memvalidasi substansi bisnis &amp; prioritas modul.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Divisi Teknologi Informasi</w:t>
            </w:r>
          </w:p>
        </w:tc>
        <w:tc>
          <w:tcPr>
            <w:tcW w:type="dxa" w:w="59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Memvalidasi kelayakan teknis &amp; kesiapan infrastruktur.</w:t>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Manajemen Risiko &amp; Kepatuhan</w:t>
            </w:r>
          </w:p>
        </w:tc>
        <w:tc>
          <w:tcPr>
            <w:tcW w:type="dxa" w:w="59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Memvalidasi pemenuhan regulasi &amp; kerangka pengendalian.</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SKAI / Internal Audit</w:t>
            </w:r>
          </w:p>
        </w:tc>
        <w:tc>
          <w:tcPr>
            <w:tcW w:type="dxa" w:w="595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Memberikan asurans independen atas kecukupan rancangan.</w:t>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Konsultan (The Millennials Institute)</w:t>
            </w:r>
          </w:p>
        </w:tc>
        <w:tc>
          <w:tcPr>
            <w:tcW w:type="dxa" w:w="595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Menyusun, memelihara, dan mengendalikan versi seluruh deliverable.</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1. PENDAHULUAN</w:t>
      </w:r>
    </w:p>
    <w:p>
      <w:pPr>
        <w:pStyle w:val="Heading2"/>
        <w:spacing w:after="120" w:before="260"/>
      </w:pPr>
      <w:r>
        <w:rPr>
          <w:rFonts w:ascii="Cambria" w:cs="Cambria" w:eastAsia="Cambria" w:hAnsi="Cambria"/>
          <w:b/>
          <w:bCs/>
          <w:color w:val="1B4A8A"/>
          <w:sz w:val="24"/>
          <w:szCs w:val="24"/>
        </w:rPr>
        <w:t xml:space="preserve">1.1 Latar Belakang</w:t>
      </w:r>
    </w:p>
    <w:p>
      <w:pPr>
        <w:spacing w:after="120" w:line="276"/>
        <w:jc w:val="both"/>
      </w:pPr>
      <w:r>
        <w:rPr>
          <w:rFonts w:ascii="Calibri" w:cs="Calibri" w:eastAsia="Calibri" w:hAnsi="Calibri"/>
          <w:color w:val="20293A"/>
          <w:sz w:val="21"/>
          <w:szCs w:val="21"/>
        </w:rPr>
        <w:t xml:space="preserve">POJK No. 15 Tahun 2024 tentang Integritas Pelaporan Keuangan Bank mengubah pengendalian internal atas pelaporan keuangan dari praktik baik menjadi kewajiban hukum yang bersanksi. Bank wajib memiliki proses pelaporan keuangan yang berintegritas (Pasal 2); wajib menyusun, menetapkan, dan memastikan penerapan kebijakan serta prosedur pengendalian internal dalam proses pelaporan keuangan (Pasal 4); wajib membentuk Unit Kerja Khusus atau menunjuk Pejabat Eksekutif (Pasal 5); dan Direksi wajib menyampaikan laporan pengendalian internal atas proses pelaporan keuangan kepada Otoritas Jasa Keuangan (Pasal 8). Pelanggaran dapat dikenai sanksi denda paling sedikit Rp2 miliar dan paling banyak Rp50 miliar untuk setiap pelanggaran.</w:t>
      </w:r>
    </w:p>
    <w:p>
      <w:pPr>
        <w:spacing w:after="120" w:line="276"/>
        <w:jc w:val="both"/>
      </w:pPr>
      <w:r>
        <w:rPr>
          <w:rFonts w:ascii="Calibri" w:cs="Calibri" w:eastAsia="Calibri" w:hAnsi="Calibri"/>
          <w:color w:val="20293A"/>
          <w:sz w:val="21"/>
          <w:szCs w:val="21"/>
        </w:rPr>
        <w:t xml:space="preserve">Konsekuensi operasionalnya berat. Siklus ICOFR menuntut penetapan materialitas, identifikasi akun dan pengungkapan signifikan, pemetaan proses bisnis, penyusunan Risk Control Matrix, walkthrough, Control Self-Assessment, Test of Design, Test of Operating Effectiveness, sampling berbasis risiko, dokumentasi kertas kerja, klasifikasi defisiensi (Control Deficiency, Significant Deficiency, Material Weakness), remediasi, pengujian ulang, atestasi manajemen, hingga asurans praktisi eksternal — dijalankan berulang setiap tahun buku, melibatkan tiga lini pertahanan, dan dituntut dapat diaudit setiap saat.</w:t>
      </w:r>
    </w:p>
    <w:p>
      <w:pPr>
        <w:spacing w:after="120" w:line="276"/>
        <w:jc w:val="both"/>
      </w:pPr>
      <w:r>
        <w:rPr>
          <w:rFonts w:ascii="Calibri" w:cs="Calibri" w:eastAsia="Calibri" w:hAnsi="Calibri"/>
          <w:color w:val="20293A"/>
          <w:sz w:val="21"/>
          <w:szCs w:val="21"/>
        </w:rPr>
        <w:t xml:space="preserve">Pengelolaan siklus ini dengan spreadsheet dan surel tidak lagi memadai. Bukti tersebar, versi berkembang biak, jejak audit tidak dapat dipertanggungjawabkan, dan agregasi defisiensi lintas siklus menjadi latihan manual yang rawan salah. Diperlukan platform terpadu yang menjadikan pengendalian internal sebagai data hidup, bukan lampiran mati.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Pernyataan Posisi</w:t>
            </w:r>
          </w:p>
          <w:p>
            <w:pPr>
              <w:spacing w:after="40" w:line="264"/>
              <w:jc w:val="both"/>
            </w:pPr>
            <w:r>
              <w:rPr>
                <w:rFonts w:ascii="Calibri" w:cs="Calibri" w:eastAsia="Calibri" w:hAnsi="Calibri"/>
                <w:color w:val="20293A"/>
                <w:sz w:val="19"/>
                <w:szCs w:val="19"/>
              </w:rPr>
              <w:t xml:space="preserve">ICOP GRC Platform tidak dirancang sebagai aplikasi ICOFR yang berdiri sendiri, melainkan sebagai fondasi Governance, Risk, Audit &amp; Compliance terpadu yang kebetulan memulai perjalanannya dari ICOFR — karena ICOFR adalah domain yang paling menuntut disiplin bukti, ketertelusuran, dan jejak audit. Domain yang lulus uji ICOFR akan dengan mudah menampung ERM, Kepatuhan, SKAI, dan Manajemen Kebijakan di atasnya.</w:t>
            </w:r>
          </w:p>
        </w:tc>
      </w:tr>
    </w:tbl>
    <w:p>
      <w:pPr>
        <w:pStyle w:val="Heading2"/>
        <w:spacing w:after="120" w:before="260"/>
      </w:pPr>
      <w:r>
        <w:rPr>
          <w:rFonts w:ascii="Cambria" w:cs="Cambria" w:eastAsia="Cambria" w:hAnsi="Cambria"/>
          <w:b/>
          <w:bCs/>
          <w:color w:val="1B4A8A"/>
          <w:sz w:val="24"/>
          <w:szCs w:val="24"/>
        </w:rPr>
        <w:t xml:space="preserve">1.2 Tujuan Master Plan</w:t>
      </w:r>
    </w:p>
    <w:p>
      <w:pPr>
        <w:spacing w:after="120" w:line="276"/>
        <w:jc w:val="both"/>
      </w:pPr>
      <w:r>
        <w:rPr>
          <w:rFonts w:ascii="Calibri" w:cs="Calibri" w:eastAsia="Calibri" w:hAnsi="Calibri"/>
          <w:color w:val="20293A"/>
          <w:sz w:val="21"/>
          <w:szCs w:val="21"/>
        </w:rPr>
        <w:t xml:space="preserve">Permintaan awal mencakup 40 deliverable rekayasa tingkat enterprise. Diproduksi sekaligus, keluarannya akan dangkal, tidak konsisten, dan tidak dapat ditelusuri. Master Plan ini mengubah permintaan tersebut menjadi program yang terkelola. Secara spesifik dokumen ini:</w:t>
      </w:r>
    </w:p>
    <w:p>
      <w:pPr>
        <w:pStyle w:val="ListParagraph"/>
        <w:numPr>
          <w:ilvl w:val="0"/>
          <w:numId w:val="2"/>
        </w:numPr>
        <w:spacing w:after="60" w:line="264"/>
        <w:jc w:val="both"/>
      </w:pPr>
      <w:r>
        <w:rPr>
          <w:rFonts w:ascii="Calibri" w:cs="Calibri" w:eastAsia="Calibri" w:hAnsi="Calibri"/>
          <w:color w:val="20293A"/>
          <w:sz w:val="21"/>
          <w:szCs w:val="21"/>
        </w:rPr>
        <w:t xml:space="preserve">Membekukan katalog deliverable — apa yang akan diproduksi, dengan kode, format, dan prasyaratnya.</w:t>
      </w:r>
    </w:p>
    <w:p>
      <w:pPr>
        <w:pStyle w:val="ListParagraph"/>
        <w:numPr>
          <w:ilvl w:val="0"/>
          <w:numId w:val="2"/>
        </w:numPr>
        <w:spacing w:after="60" w:line="264"/>
        <w:jc w:val="both"/>
      </w:pPr>
      <w:r>
        <w:rPr>
          <w:rFonts w:ascii="Calibri" w:cs="Calibri" w:eastAsia="Calibri" w:hAnsi="Calibri"/>
          <w:color w:val="20293A"/>
          <w:sz w:val="21"/>
          <w:szCs w:val="21"/>
        </w:rPr>
        <w:t xml:space="preserve">Menetapkan urutan produksi dalam 12 batch yang menghormati ketergantungan alami antar dokumen.</w:t>
      </w:r>
    </w:p>
    <w:p>
      <w:pPr>
        <w:pStyle w:val="ListParagraph"/>
        <w:numPr>
          <w:ilvl w:val="0"/>
          <w:numId w:val="2"/>
        </w:numPr>
        <w:spacing w:after="60" w:line="264"/>
        <w:jc w:val="both"/>
      </w:pPr>
      <w:r>
        <w:rPr>
          <w:rFonts w:ascii="Calibri" w:cs="Calibri" w:eastAsia="Calibri" w:hAnsi="Calibri"/>
          <w:color w:val="20293A"/>
          <w:sz w:val="21"/>
          <w:szCs w:val="21"/>
        </w:rPr>
        <w:t xml:space="preserve">Menetapkan konvensi kanonik (kode modul, kode peran, penomoran kebutuhan, palet, tipografi) yang mengikat seluruh dokumen sehingga konsistensi terjaga lintas batch.</w:t>
      </w:r>
    </w:p>
    <w:p>
      <w:pPr>
        <w:pStyle w:val="ListParagraph"/>
        <w:numPr>
          <w:ilvl w:val="0"/>
          <w:numId w:val="2"/>
        </w:numPr>
        <w:spacing w:after="60" w:line="264"/>
        <w:jc w:val="both"/>
      </w:pPr>
      <w:r>
        <w:rPr>
          <w:rFonts w:ascii="Calibri" w:cs="Calibri" w:eastAsia="Calibri" w:hAnsi="Calibri"/>
          <w:color w:val="20293A"/>
          <w:sz w:val="21"/>
          <w:szCs w:val="21"/>
        </w:rPr>
        <w:t xml:space="preserve">Menetapkan Definition of Done dan alur reviu berjenjang agar mutu dapat diverifikasi, bukan diasumsikan.</w:t>
      </w:r>
    </w:p>
    <w:p>
      <w:pPr>
        <w:pStyle w:val="ListParagraph"/>
        <w:numPr>
          <w:ilvl w:val="0"/>
          <w:numId w:val="2"/>
        </w:numPr>
        <w:spacing w:after="60" w:line="264"/>
        <w:jc w:val="both"/>
      </w:pPr>
      <w:r>
        <w:rPr>
          <w:rFonts w:ascii="Calibri" w:cs="Calibri" w:eastAsia="Calibri" w:hAnsi="Calibri"/>
          <w:color w:val="20293A"/>
          <w:sz w:val="21"/>
          <w:szCs w:val="21"/>
        </w:rPr>
        <w:t xml:space="preserve">Menetapkan tata kelola perubahan sehingga penambahan cakupan tidak menggerus kualitas secara diam-diam.</w:t>
      </w:r>
    </w:p>
    <w:p>
      <w:pPr>
        <w:pStyle w:val="Heading2"/>
        <w:spacing w:after="120" w:before="260"/>
      </w:pPr>
      <w:r>
        <w:rPr>
          <w:rFonts w:ascii="Cambria" w:cs="Cambria" w:eastAsia="Cambria" w:hAnsi="Cambria"/>
          <w:b/>
          <w:bCs/>
          <w:color w:val="1B4A8A"/>
          <w:sz w:val="24"/>
          <w:szCs w:val="24"/>
        </w:rPr>
        <w:t xml:space="preserve">1.3 Ruang Lingkup &amp; Batasan Keluaran</w:t>
      </w:r>
    </w:p>
    <w:p>
      <w:pPr>
        <w:pStyle w:val="Heading3"/>
        <w:spacing w:after="100" w:before="180"/>
      </w:pPr>
      <w:r>
        <w:rPr>
          <w:rFonts w:ascii="Calibri" w:cs="Calibri" w:eastAsia="Calibri" w:hAnsi="Calibri"/>
          <w:b/>
          <w:bCs/>
          <w:color w:val="1E5AA8"/>
          <w:sz w:val="22"/>
          <w:szCs w:val="22"/>
        </w:rPr>
        <w:t xml:space="preserve">Termasuk dalam Ruang Lingkup</w:t>
      </w:r>
    </w:p>
    <w:p>
      <w:pPr>
        <w:pStyle w:val="ListParagraph"/>
        <w:numPr>
          <w:ilvl w:val="0"/>
          <w:numId w:val="3"/>
        </w:numPr>
        <w:spacing w:after="60" w:line="264"/>
        <w:jc w:val="both"/>
      </w:pPr>
      <w:r>
        <w:rPr>
          <w:rFonts w:ascii="Calibri" w:cs="Calibri" w:eastAsia="Calibri" w:hAnsi="Calibri"/>
          <w:color w:val="20293A"/>
          <w:sz w:val="21"/>
          <w:szCs w:val="21"/>
        </w:rPr>
        <w:t xml:space="preserve">Seluruh 40 deliverable pada Bab 3.2, dalam Bahasa Indonesia, format Word/Excel/PowerPoint/OpenAPI/SQL/Mermaid sesuai kolom Format.</w:t>
      </w:r>
    </w:p>
    <w:p>
      <w:pPr>
        <w:pStyle w:val="ListParagraph"/>
        <w:numPr>
          <w:ilvl w:val="0"/>
          <w:numId w:val="3"/>
        </w:numPr>
        <w:spacing w:after="60" w:line="264"/>
        <w:jc w:val="both"/>
      </w:pPr>
      <w:r>
        <w:rPr>
          <w:rFonts w:ascii="Calibri" w:cs="Calibri" w:eastAsia="Calibri" w:hAnsi="Calibri"/>
          <w:color w:val="20293A"/>
          <w:sz w:val="21"/>
          <w:szCs w:val="21"/>
        </w:rPr>
        <w:t xml:space="preserve">Prototipe antarmuka interaktif (HTML) sebagai bagian DOK-17 dan DOK-33, dapat dibuka di peramban tanpa instalasi.</w:t>
      </w:r>
    </w:p>
    <w:p>
      <w:pPr>
        <w:pStyle w:val="ListParagraph"/>
        <w:numPr>
          <w:ilvl w:val="0"/>
          <w:numId w:val="3"/>
        </w:numPr>
        <w:spacing w:after="60" w:line="264"/>
        <w:jc w:val="both"/>
      </w:pPr>
      <w:r>
        <w:rPr>
          <w:rFonts w:ascii="Calibri" w:cs="Calibri" w:eastAsia="Calibri" w:hAnsi="Calibri"/>
          <w:color w:val="20293A"/>
          <w:sz w:val="21"/>
          <w:szCs w:val="21"/>
        </w:rPr>
        <w:t xml:space="preserve">Skema basis data siap eksekusi (DDL) dan spesifikasi API siap impor ke Swagger/Postman.</w:t>
      </w:r>
    </w:p>
    <w:p>
      <w:pPr>
        <w:pStyle w:val="Heading3"/>
        <w:spacing w:after="100" w:before="180"/>
      </w:pPr>
      <w:r>
        <w:rPr>
          <w:rFonts w:ascii="Calibri" w:cs="Calibri" w:eastAsia="Calibri" w:hAnsi="Calibri"/>
          <w:b/>
          <w:bCs/>
          <w:color w:val="1E5AA8"/>
          <w:sz w:val="22"/>
          <w:szCs w:val="22"/>
        </w:rPr>
        <w:t xml:space="preserve">Di Luar Ruang Lingkup</w:t>
      </w:r>
    </w:p>
    <w:p>
      <w:pPr>
        <w:pStyle w:val="ListParagraph"/>
        <w:numPr>
          <w:ilvl w:val="0"/>
          <w:numId w:val="3"/>
        </w:numPr>
        <w:spacing w:after="60" w:line="264"/>
        <w:jc w:val="both"/>
      </w:pPr>
      <w:r>
        <w:rPr>
          <w:rFonts w:ascii="Calibri" w:cs="Calibri" w:eastAsia="Calibri" w:hAnsi="Calibri"/>
          <w:b/>
          <w:bCs/>
          <w:color w:val="20293A"/>
          <w:sz w:val="21"/>
          <w:szCs w:val="21"/>
        </w:rPr>
        <w:t xml:space="preserve">Perangkat lunak siap produksi. </w:t>
      </w:r>
      <w:r>
        <w:rPr>
          <w:rFonts w:ascii="Calibri" w:cs="Calibri" w:eastAsia="Calibri" w:hAnsi="Calibri"/>
          <w:color w:val="20293A"/>
          <w:sz w:val="21"/>
          <w:szCs w:val="21"/>
        </w:rPr>
        <w:t xml:space="preserve">Keluaran program ini adalah paket rekayasa (engineering package) — spesifikasi, model, arsitektur, dan prototipe — yang menjadi dasar pembangunan. Pembangunan, pengujian sistem, dan penggelaran merupakan fase terpisah yang diestimasikan dalam DOK-40.</w:t>
      </w:r>
    </w:p>
    <w:p>
      <w:pPr>
        <w:pStyle w:val="ListParagraph"/>
        <w:numPr>
          <w:ilvl w:val="0"/>
          <w:numId w:val="3"/>
        </w:numPr>
        <w:spacing w:after="60" w:line="264"/>
        <w:jc w:val="both"/>
      </w:pPr>
      <w:r>
        <w:rPr>
          <w:rFonts w:ascii="Calibri" w:cs="Calibri" w:eastAsia="Calibri" w:hAnsi="Calibri"/>
          <w:b/>
          <w:bCs/>
          <w:color w:val="20293A"/>
          <w:sz w:val="21"/>
          <w:szCs w:val="21"/>
        </w:rPr>
        <w:t xml:space="preserve">Pengadaan lisensi &amp; infrastruktur. </w:t>
      </w:r>
      <w:r>
        <w:rPr>
          <w:rFonts w:ascii="Calibri" w:cs="Calibri" w:eastAsia="Calibri" w:hAnsi="Calibri"/>
          <w:color w:val="20293A"/>
          <w:sz w:val="21"/>
          <w:szCs w:val="21"/>
        </w:rPr>
        <w:t xml:space="preserve">Dokumen menyatakan kebutuhan kapabilitas dan standar terbuka; pemilihan produk komersial menjadi keputusan Bank.</w:t>
      </w:r>
    </w:p>
    <w:p>
      <w:pPr>
        <w:pStyle w:val="ListParagraph"/>
        <w:numPr>
          <w:ilvl w:val="0"/>
          <w:numId w:val="3"/>
        </w:numPr>
        <w:spacing w:after="60" w:line="264"/>
        <w:jc w:val="both"/>
      </w:pPr>
      <w:r>
        <w:rPr>
          <w:rFonts w:ascii="Calibri" w:cs="Calibri" w:eastAsia="Calibri" w:hAnsi="Calibri"/>
          <w:b/>
          <w:bCs/>
          <w:color w:val="20293A"/>
          <w:sz w:val="21"/>
          <w:szCs w:val="21"/>
        </w:rPr>
        <w:t xml:space="preserve">Data produksi. </w:t>
      </w:r>
      <w:r>
        <w:rPr>
          <w:rFonts w:ascii="Calibri" w:cs="Calibri" w:eastAsia="Calibri" w:hAnsi="Calibri"/>
          <w:color w:val="20293A"/>
          <w:sz w:val="21"/>
          <w:szCs w:val="21"/>
        </w:rPr>
        <w:t xml:space="preserve">Seluruh contoh data bersifat ilustratif. Angka materialitas, akun signifikan, dan RCM final wajib divalidasi Process Owner dan auditor eksternal.</w:t>
      </w:r>
    </w:p>
    <w:p>
      <w:pPr>
        <w:pStyle w:val="Heading2"/>
        <w:spacing w:after="120" w:before="260"/>
      </w:pPr>
      <w:r>
        <w:rPr>
          <w:rFonts w:ascii="Cambria" w:cs="Cambria" w:eastAsia="Cambria" w:hAnsi="Cambria"/>
          <w:b/>
          <w:bCs/>
          <w:color w:val="1B4A8A"/>
          <w:sz w:val="24"/>
          <w:szCs w:val="24"/>
        </w:rPr>
        <w:t xml:space="preserve">1.4 Rujukan Standar &amp; Regulasi</w:t>
      </w:r>
    </w:p>
    <w:p>
      <w:pPr>
        <w:spacing w:after="120" w:line="276"/>
        <w:jc w:val="both"/>
      </w:pPr>
      <w:r>
        <w:rPr>
          <w:rFonts w:ascii="Calibri" w:cs="Calibri" w:eastAsia="Calibri" w:hAnsi="Calibri"/>
          <w:color w:val="20293A"/>
          <w:sz w:val="21"/>
          <w:szCs w:val="21"/>
        </w:rPr>
        <w:t xml:space="preserve">Seluruh deliverable disusun dengan merujuk kerangka berikut. Setiap kebutuhan yang bersumber dari regulasi wajib mencantumkan pasal atau klausul rujukannya.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040"/>
      </w:tblGrid>
      <w:tr>
        <w:trPr>
          <w:tblHeader/>
        </w:trPr>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Kategori</w:t>
            </w:r>
          </w:p>
        </w:tc>
        <w:tc>
          <w:tcPr>
            <w:tcW w:type="dxa" w:w="704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Rujukan</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Regulasi Nasional</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POJK No. 15 Tahun 2024 (Integritas Pelaporan Keuangan Bank); POJK Tata Kelola Bank Umum; POJK Manajemen Risiko; POJK Penerapan Manajemen Risiko dalam Penggunaan TI; SK-5/DKU.MBU/11/2024 (Juknis ICOFR BUMN).</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Kerangka Pengendalian</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COSO Internal Control — Integrated Framework (2013); COSO Enterprise Risk Management (2017); Three Lines Model (IIA, 2020).</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Tata Kelola TI</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COBIT 2019; ISO/IEC 27001:2022; ISO/IEC 27002; ISO 22301 (BCM); ISO 37301 (Compliance MS); ISO 31000 (Risk MS).</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Keamanan Siber</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NIST Cybersecurity Framework 2.0; NIST SP 800-53 Rev.5; NIST SP 800-207 (Zero Trust); OWASP Top 10 (2021) &amp; OWASP ASVS; CIS Benchmarks.</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Audit &amp; Pelaporan</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SOX Section 404; PCAOB AS 2201; Standar Profesional Audit Internal (IIA IPPF); PSAK (khususnya PSAK 71, 72, 73); IFRS.</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Perbankan</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 Committee — Principles for Sound Management of Operational Risk; BCBS 239 (Risk Data Aggregation).</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2. GAMBARAN PRODUK</w:t>
      </w:r>
    </w:p>
    <w:p>
      <w:pPr>
        <w:pStyle w:val="Heading2"/>
        <w:spacing w:after="120" w:before="260"/>
      </w:pPr>
      <w:r>
        <w:rPr>
          <w:rFonts w:ascii="Cambria" w:cs="Cambria" w:eastAsia="Cambria" w:hAnsi="Cambria"/>
          <w:b/>
          <w:bCs/>
          <w:color w:val="1B4A8A"/>
          <w:sz w:val="24"/>
          <w:szCs w:val="24"/>
        </w:rPr>
        <w:t xml:space="preserve">2.1 Definisi &amp; Proposisi Nilai</w:t>
      </w:r>
    </w:p>
    <w:p>
      <w:pPr>
        <w:spacing w:after="120" w:line="276"/>
        <w:jc w:val="both"/>
      </w:pPr>
      <w:r>
        <w:rPr>
          <w:rFonts w:ascii="Calibri" w:cs="Calibri" w:eastAsia="Calibri" w:hAnsi="Calibri"/>
          <w:b/>
          <w:bCs/>
          <w:color w:val="20293A"/>
          <w:sz w:val="21"/>
          <w:szCs w:val="21"/>
        </w:rPr>
        <w:t xml:space="preserve">ICOP GRC Platform </w:t>
      </w:r>
      <w:r>
        <w:rPr>
          <w:rFonts w:ascii="Calibri" w:cs="Calibri" w:eastAsia="Calibri" w:hAnsi="Calibri"/>
          <w:color w:val="20293A"/>
          <w:sz w:val="21"/>
          <w:szCs w:val="21"/>
        </w:rPr>
        <w:t xml:space="preserve">(</w:t>
      </w:r>
      <w:r>
        <w:rPr>
          <w:rFonts w:ascii="Calibri" w:cs="Calibri" w:eastAsia="Calibri" w:hAnsi="Calibri"/>
          <w:i/>
          <w:iCs/>
          <w:color w:val="20293A"/>
          <w:sz w:val="21"/>
          <w:szCs w:val="21"/>
        </w:rPr>
        <w:t xml:space="preserve">Integrated Governance, Risk, Audit &amp; Compliance Platform</w:t>
      </w:r>
      <w:r>
        <w:rPr>
          <w:rFonts w:ascii="Calibri" w:cs="Calibri" w:eastAsia="Calibri" w:hAnsi="Calibri"/>
          <w:color w:val="20293A"/>
          <w:sz w:val="21"/>
          <w:szCs w:val="21"/>
        </w:rPr>
        <w:t xml:space="preserve">) adalah platform web enterprise berkelas perbankan yang mengelola seluruh siklus hidup pengendalian internal — dari perancangan, implementasi, pemantauan, pengujian, remediasi, pelaporan, hingga atestasi manajemen dan asurans eksternal — di atas satu model data pengendalian tunggal.</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0"/>
        <w:gridCol w:w="5416"/>
      </w:tblGrid>
      <w:tr>
        <w:trPr>
          <w:tblHeader/>
        </w:trPr>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Masalah Hari Ini</w:t>
            </w:r>
          </w:p>
        </w:tc>
        <w:tc>
          <w:tcPr>
            <w:tcW w:type="dxa" w:w="541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Yang Diubah Platform</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RCM hidup di puluhan berkas Excel; versi tidak jelas mana yang berlaku.</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RCM menjadi entitas basis data dengan versi, pemilik, siklus reviu, dan jejak perubahan yang tak terbantahkan.</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Bukti pengujian tersebar di surel, folder bersama, dan komputer pribadi.</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Setiap kesimpulan pengujian tertaut bukti ber-hash yang tersimpan, terindeks, dan dapat ditelusuri hingga ke pengunggahnya.</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Agregasi defisiensi lintas siklus dilakukan manual menjelang tutup buku.</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Agregasi dan klasifikasi CD/SD/MW dihitung berkelanjutan; dampak terhadap akun terlihat seketika.</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Status remediasi diketahui hanya saat rapat.</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SLA, eskalasi otomatis, dan dasbor real-time membuat keterlambatan terlihat sebelum menjadi masalah.</w:t>
            </w:r>
          </w:p>
        </w:tc>
      </w:tr>
      <w:tr>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Laporan ke Direksi, Komite Audit, dan OJK disusun ulang dari nol setiap periode.</w:t>
            </w:r>
          </w:p>
        </w:tc>
        <w:tc>
          <w:tcPr>
            <w:tcW w:type="dxa" w:w="541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Laporan dibangkitkan dari data yang sama yang dipakai untuk bekerja — sekali data benar, semua laporan benar.</w:t>
            </w:r>
          </w:p>
        </w:tc>
      </w:tr>
      <w:tr>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Penyusunan BPM/RCM/narasi/kertas kerja memakan ratusan jam-orang.</w:t>
            </w:r>
          </w:p>
        </w:tc>
        <w:tc>
          <w:tcPr>
            <w:tcW w:type="dxa" w:w="541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AI Assistant menyusun draf dalam hitungan menit; manusia mereviu, mengoreksi, dan menyetujui — dengan jejak siapa memutuskan apa.</w:t>
            </w:r>
          </w:p>
        </w:tc>
      </w:tr>
    </w:tbl>
    <w:p>
      <w:pPr>
        <w:spacing w:after="180" w:before="60"/>
        <w:jc w:val="left"/>
      </w:pPr>
      <w:r>
        <w:rPr>
          <w:rFonts w:ascii="Calibri" w:cs="Calibri" w:eastAsia="Calibri" w:hAnsi="Calibri"/>
          <w:i/>
          <w:iCs/>
          <w:color w:val="5C6B7E"/>
          <w:sz w:val="17"/>
          <w:szCs w:val="17"/>
        </w:rPr>
        <w:t xml:space="preserve">Tabel 2.1 — Proposisi nilai inti ICOP GRC Platform.</w:t>
      </w:r>
    </w:p>
    <w:p>
      <w:pPr>
        <w:pStyle w:val="Heading2"/>
        <w:spacing w:after="120" w:before="260"/>
      </w:pPr>
      <w:r>
        <w:rPr>
          <w:rFonts w:ascii="Cambria" w:cs="Cambria" w:eastAsia="Cambria" w:hAnsi="Cambria"/>
          <w:b/>
          <w:bCs/>
          <w:color w:val="1B4A8A"/>
          <w:sz w:val="24"/>
          <w:szCs w:val="24"/>
        </w:rPr>
        <w:t xml:space="preserve">2.2 Peta Modul Platform</w:t>
      </w:r>
    </w:p>
    <w:p>
      <w:pPr>
        <w:spacing w:after="120" w:line="276"/>
        <w:jc w:val="both"/>
      </w:pPr>
      <w:r>
        <w:rPr>
          <w:rFonts w:ascii="Calibri" w:cs="Calibri" w:eastAsia="Calibri" w:hAnsi="Calibri"/>
          <w:color w:val="20293A"/>
          <w:sz w:val="21"/>
          <w:szCs w:val="21"/>
        </w:rPr>
        <w:t xml:space="preserve">Platform terdiri atas 17 modul. Kode tiga huruf berikut bersifat kanonik dan wajib dipakai konsisten pada seluruh penomoran kebutuhan, tabel hak akses, endpoint API, dan skema basis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1986"/>
        <w:gridCol w:w="6318"/>
      </w:tblGrid>
      <w:tr>
        <w:trPr>
          <w:tblHeader/>
        </w:trPr>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Kode</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Modul</w:t>
            </w:r>
          </w:p>
        </w:tc>
        <w:tc>
          <w:tcPr>
            <w:tcW w:type="dxa" w:w="631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Cakupan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DSH</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Dashboard Executive</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KPI eksekutif, skor Compliance/Risk/ICOFR/ERM/Audit, heatmap, tren risiko, insiden, CSA, temuan, remediasi, KRI, loss event.</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GOV</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Governance</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Organisasi, komite, proyek, roadmap, rapat, RACI, kalender, action tracker.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ICF</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ICOFR Management System</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Materialitas, akun &amp; pengungkapan signifikan, asersi, BPM, flowchart/BPMN, narasi, RCM, walkthrough, CSA, ToD, ToE, sampling, kertas kerja, temuan, defisiensi, material weakness, remediasi, atestasi manajemen, laporan OJK.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ERM</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Enterprise Risk Management</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Risk register, universe, taksonomi, appetite, tolerance, asesmen inheren/residual, treatment, monitoring, heatmap, skenario, stress test, emerging risk.</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ORM</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Operational Risk</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RCSA, control &amp; risk assessment, control library, skenario, control testing, residual risk.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KRI</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Key Risk Indicator</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KRI library, threshold, tolerance, early warning, tren, alert, eskalasi, dasbor.</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LED</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Loss Event Data</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Pencatatan insiden kerugian, near miss, kerugian operasional &amp; fraud, akar masalah, kategori, recovery, analitik.</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INC</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Incident Management</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Incident, issue, problem, root cause, CAPA, workflow, eskalasi, persetujuan, closure.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CMP</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Compliance</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Regulation library (POJK/BI/OJK/ISO/SE), pemetaan &amp; asesmen kepatuhan, gap analysis, obligation register, kalender kepatuhan.</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POL</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Policy Management</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Kebijakan, standar, prosedur, SOP, pedoman, template, persetujuan, siklus reviu, versi, acknowledgement, pelatihan.</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ITG</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ITGC</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Logical &amp; privileged access, change management, backup/restore, patch, monitoring, batch/job, database, OS, jaringan, cloud.</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ITA</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IT Asset</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Hardware, software, cloud, aplikasi, lisensi, sertifikat, inventaris, CMDB, dependency mapping, lifecycle.</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DMS</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Document Management</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Folder, tag, versi, workflow, persetujuan, OCR, pencarian, tanda tangan digital, retensi, arsip.</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IAD</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Internal Audit</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Audit universe, audit plan, risk-based audit, program, checklist, sampling, observasi, temuan, rekomendasi, follow-up, opini.</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RPT</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Reporting &amp; Analytics</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Dasbor, laporan eksekutif/Direksi/Komite Audit/Risiko/Kepatuhan/ICOFR/SKAI/OJK, ekspor PPT/XLS/DOC/PDF.</w:t>
            </w:r>
          </w:p>
        </w:tc>
      </w:tr>
      <w:tr>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AIA</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 Assistant (ICOP Copilot)</w:t>
            </w:r>
          </w:p>
        </w:tc>
        <w:tc>
          <w:tcPr>
            <w:tcW w:type="dxa" w:w="631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Generator BPM/SIPOC/RCM/CSA/ToD/ToE/kertas kerja/RCA/CAPA/laporan; chat with documents, policy, audit, risk, ICOFR; predictive risk &amp; insight.</w:t>
            </w:r>
          </w:p>
        </w:tc>
      </w:tr>
      <w:tr>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ADM</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Administration &amp; Security</w:t>
            </w:r>
          </w:p>
        </w:tc>
        <w:tc>
          <w:tcPr>
            <w:tcW w:type="dxa" w:w="631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RBAC/ABAC, master data, integrasi, AI admin, audit trail, konfigurasi keamanan, tenant, SSO/MFA.</w:t>
            </w:r>
          </w:p>
        </w:tc>
      </w:tr>
    </w:tbl>
    <w:p>
      <w:pPr>
        <w:spacing w:after="180" w:before="60"/>
        <w:jc w:val="left"/>
      </w:pPr>
      <w:r>
        <w:rPr>
          <w:rFonts w:ascii="Calibri" w:cs="Calibri" w:eastAsia="Calibri" w:hAnsi="Calibri"/>
          <w:i/>
          <w:iCs/>
          <w:color w:val="5C6B7E"/>
          <w:sz w:val="17"/>
          <w:szCs w:val="17"/>
        </w:rPr>
        <w:t xml:space="preserve">Tabel 2.2 — Peta 17 modul dan kode kanoniknya.</w:t>
      </w:r>
    </w:p>
    <w:p>
      <w:pPr>
        <w:pStyle w:val="Heading2"/>
        <w:spacing w:after="120" w:before="260"/>
      </w:pPr>
      <w:r>
        <w:rPr>
          <w:rFonts w:ascii="Cambria" w:cs="Cambria" w:eastAsia="Cambria" w:hAnsi="Cambria"/>
          <w:b/>
          <w:bCs/>
          <w:color w:val="1B4A8A"/>
          <w:sz w:val="24"/>
          <w:szCs w:val="24"/>
        </w:rPr>
        <w:t xml:space="preserve">2.3 Prinsip Arsitektur</w:t>
      </w:r>
    </w:p>
    <w:p>
      <w:pPr>
        <w:spacing w:after="120" w:line="276"/>
        <w:jc w:val="both"/>
      </w:pPr>
      <w:r>
        <w:rPr>
          <w:rFonts w:ascii="Calibri" w:cs="Calibri" w:eastAsia="Calibri" w:hAnsi="Calibri"/>
          <w:color w:val="20293A"/>
          <w:sz w:val="21"/>
          <w:szCs w:val="21"/>
        </w:rPr>
        <w:t xml:space="preserve">Sepuluh prinsip berikut mengikat seluruh keputusan rancangan. Setiap penyimpangan wajib dicatat sebagai Architecture Decision Record beserta alasan dan konsekuensinya.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1986"/>
        <w:gridCol w:w="6408"/>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Prinsip</w:t>
            </w:r>
          </w:p>
        </w:tc>
        <w:tc>
          <w:tcPr>
            <w:tcW w:type="dxa" w:w="64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Implikasi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P-01</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Regulatory-by-Design</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entitas &amp; alur kerja dipetakan langsung ke pasal POJK 15/2024, COSO IC, SOX 404, dan PCAOB AS 2201. Kepatuhan bukan modul tambahan, melainkan properti bawaan model data.</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P-02</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Single Source of Truth</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Satu taksonomi risiko–kontrol–akun–proses–asersi dipakai bersama oleh ICOFR, ERM, ORM, Kepatuhan, dan SKAI. Tidak ada duplikasi control library.</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P-03</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Evidence-Centric</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Tidak ada kesimpulan tanpa bukti tertaut. Setiap kesimpulan CSA/ToD/ToE/temuan wajib memiliki referensi kertas kerja &amp; lampiran ber-hash.</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P-04</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Immutable Audit Trail</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Seluruh perubahan data material dicatat dalam log append-only ber-hash-chain (WORM), tidak dapat diubah atau dihapus oleh peran apa pun.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P-05</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API-First &amp; Event-Driven</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Semua kapabilitas terekspos sebagai API sebelum UI dibangun; perubahan status memancarkan event domain untuk orkestrasi lintas modul.</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P-06</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Zero Trust by Default</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Tidak ada kepercayaan implisit berbasis jaringan. Setiap permintaan diautentikasi, diotorisasi, dan dienkripsi; identitas + perangkat + konteks dievaluasi setiap kali.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P-07</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AI-Native, Human-in-the-Loop</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AI menyusun draf, mendeteksi anomali, dan menyarankan; keputusan pengendalian, kesimpulan pengujian, dan atestasi tetap milik manusia dan tercatat siapa yang menyetujui.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P-08</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Domain-Driven Microservice</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Batas layanan mengikuti batas domain bisnis (bounded context), bukan batas teknologi, agar modul dapat berevolusi independen.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P-09</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Mobile-First Responsive</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Persetujuan, CSA, notifikasi, dan dasbor eksekutif harus tuntas dari ponsel. Desktop untuk kerja mendalam (kertas kerja, RCM).</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P-10</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Data Sovereignty</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Data dan pemrosesan (termasuk inferensi AI) berada di dalam yurisdiksi Indonesia, mendukung penempatan on-premise atau sovereign cloud.</w:t>
            </w:r>
          </w:p>
        </w:tc>
      </w:tr>
    </w:tbl>
    <w:p>
      <w:pPr>
        <w:spacing w:after="180" w:before="60"/>
        <w:jc w:val="left"/>
      </w:pPr>
      <w:r>
        <w:rPr>
          <w:rFonts w:ascii="Calibri" w:cs="Calibri" w:eastAsia="Calibri" w:hAnsi="Calibri"/>
          <w:i/>
          <w:iCs/>
          <w:color w:val="5C6B7E"/>
          <w:sz w:val="17"/>
          <w:szCs w:val="17"/>
        </w:rPr>
        <w:t xml:space="preserve">Tabel 2.3 — Prinsip arsitektur yang mengikat.</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3. KATALOG DELIVERABLE</w:t>
      </w:r>
    </w:p>
    <w:p>
      <w:pPr>
        <w:pStyle w:val="Heading2"/>
        <w:spacing w:after="120" w:before="260"/>
      </w:pPr>
      <w:r>
        <w:rPr>
          <w:rFonts w:ascii="Cambria" w:cs="Cambria" w:eastAsia="Cambria" w:hAnsi="Cambria"/>
          <w:b/>
          <w:bCs/>
          <w:color w:val="1B4A8A"/>
          <w:sz w:val="24"/>
          <w:szCs w:val="24"/>
        </w:rPr>
        <w:t xml:space="preserve">3.1 Konvensi Penomoran Dokumen</w:t>
      </w:r>
    </w:p>
    <w:p>
      <w:pPr>
        <w:spacing w:after="120" w:line="276"/>
        <w:jc w:val="both"/>
      </w:pPr>
      <w:r>
        <w:rPr>
          <w:rFonts w:ascii="Calibri" w:cs="Calibri" w:eastAsia="Calibri" w:hAnsi="Calibri"/>
          <w:color w:val="20293A"/>
          <w:sz w:val="21"/>
          <w:szCs w:val="21"/>
        </w:rPr>
        <w:t xml:space="preserve">Setiap deliverable memiliki kode permanen berformat DOK-NN yang tidak berubah sepanjang program, bahkan bila urutan produksinya bergeser. Kode ini menjadi jangkar rujukan silang antar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7"/>
        <w:gridCol w:w="3610"/>
        <w:gridCol w:w="3069"/>
      </w:tblGrid>
      <w:tr>
        <w:trPr>
          <w:tblHeader/>
        </w:trPr>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Elemen</w:t>
            </w:r>
          </w:p>
        </w:tc>
        <w:tc>
          <w:tcPr>
            <w:tcW w:type="dxa" w:w="361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Format</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Contoh</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Kode dokumen</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DOK-NN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DOK-15</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Nama berkas</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DOK-NN_Nama_Ringkas_vX.Y.ext</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DOK-15_API_Specification_v1.0.docx</w:t>
            </w:r>
          </w:p>
        </w:tc>
      </w:tr>
      <w:tr>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Batch</w:t>
            </w:r>
          </w:p>
        </w:tc>
        <w:tc>
          <w:tcPr>
            <w:tcW w:type="dxa" w:w="361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BN</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B5</w:t>
            </w:r>
          </w:p>
        </w:tc>
      </w:tr>
      <w:tr>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Rujukan silang dalam teks</w:t>
            </w:r>
          </w:p>
        </w:tc>
        <w:tc>
          <w:tcPr>
            <w:tcW w:type="dxa" w:w="361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[DOK-NN §Bab]</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[DOK-02 §6.3]</w:t>
            </w:r>
          </w:p>
        </w:tc>
      </w:tr>
    </w:tbl>
    <w:p>
      <w:pPr>
        <w:pStyle w:val="Heading2"/>
        <w:spacing w:after="120" w:before="260"/>
      </w:pPr>
      <w:r>
        <w:rPr>
          <w:rFonts w:ascii="Cambria" w:cs="Cambria" w:eastAsia="Cambria" w:hAnsi="Cambria"/>
          <w:b/>
          <w:bCs/>
          <w:color w:val="1B4A8A"/>
          <w:sz w:val="24"/>
          <w:szCs w:val="24"/>
        </w:rPr>
        <w:t xml:space="preserve">3.2 Katalog 40 Deliverable</w:t>
      </w:r>
    </w:p>
    <w:p>
      <w:pPr>
        <w:spacing w:after="120" w:line="276"/>
        <w:jc w:val="both"/>
      </w:pPr>
      <w:r>
        <w:rPr>
          <w:rFonts w:ascii="Calibri" w:cs="Calibri" w:eastAsia="Calibri" w:hAnsi="Calibri"/>
          <w:color w:val="20293A"/>
          <w:sz w:val="21"/>
          <w:szCs w:val="21"/>
        </w:rPr>
        <w:t xml:space="preserve">Kolom "Bergantung Pada" menyatakan dokumen yang harus berstatus Disetujui atau Baseline sebelum deliverable bersangkutan dapat diselesaikan. Ketergantungan inilah yang menentukan urutan batch pada Bab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3881"/>
        <w:gridCol w:w="722"/>
        <w:gridCol w:w="1805"/>
        <w:gridCol w:w="1806"/>
      </w:tblGrid>
      <w:tr>
        <w:trPr>
          <w:tblHeader/>
        </w:trPr>
        <w:tc>
          <w:tcPr>
            <w:tcW w:type="dxa" w:w="8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Kode</w:t>
            </w:r>
          </w:p>
        </w:tc>
        <w:tc>
          <w:tcPr>
            <w:tcW w:type="dxa" w:w="3881"/>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Deliverable</w:t>
            </w:r>
          </w:p>
        </w:tc>
        <w:tc>
          <w:tcPr>
            <w:tcW w:type="dxa" w:w="72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Batch</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Bergantung Pada</w:t>
            </w:r>
          </w:p>
        </w:tc>
        <w:tc>
          <w:tcPr>
            <w:tcW w:type="dxa" w:w="180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Format</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DOK-01</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Business Requirement Document (BRD)</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DOK-02</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Software Requirement Specification (SRS)</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DOK-01</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DOK-03</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Functional Requirement Specification (FRS)</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B2</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DOK-02</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DOK-04</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Technical Requirement Specification (TRS)</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B2</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DOK-02</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DOK-05</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Dictionary</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B3</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DOK-06</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Entity Relationship Diagram (ERD)</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B3</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DOK-05</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DOK-07</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Database Schema (DDL)</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B3</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DOK-06</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SQL + 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DOK-08</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BPMN Seluruh Proses</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BPMN/XML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DOK-09</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Use Case Diagram &amp; Specification</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DOK-10</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Activity Diagram</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DOK-09</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DOK-11</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Sequence Diagram</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DOK-09</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DOK-12</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Class Diagram</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DOK-06</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DOK-13</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Component Diagram</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DOK-04</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DOK-14</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Deployment Diagram</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DOK-13</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DOK-15</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API Specification (REST &amp; GraphQL)</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B5</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 DOK-05</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OpenAPI + 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DOK-16</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Microservice Architecture</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B5</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DOK-13</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DOK-17</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UI/UX Design Seluruh Halaman</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B6</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Prototipe HTML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DOK-18</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Design System &amp; Component Library</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B6</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DOK-17</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Token JSON</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DOK-19</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Navigation Flow</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B6</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DOK-17</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Mermaid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DOK-20</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Role Permission Matrix</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B7</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DOK-21</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Workflow Matrix</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B7</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DOK-08</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DOK-22</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RACI Matrix</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B7</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DOK-21</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DOK-23</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Notification Matrix</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B7</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DOK-21</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DOK-24</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SLA Matrix</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B7</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DOK-21</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DOK-25</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Audit Trail Matrix</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B7</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DOK-05</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Excel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DOK-26</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Cybersecurity Architecture</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B8</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DOK-04</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DOK-27</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Zero Trust Architecture</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B8</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DOK-26</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DOK-28</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AI Architecture (LLM + RAG + KB + MCP)</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B8</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DOK-16</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DOK-29</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DevSecOps Pipeline</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B9</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DOK-26</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YAML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DOK-30</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CI/CD Architecture</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B9</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DOK-29</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YAML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DOK-31</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High Availability &amp; Disaster Recovery Design</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B9</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DOK-14</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DOK-32</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Performance &amp; Scalability Design</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B9</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DOK-16</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DOK-33</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Mobile PWA Design</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B6</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DOK-17</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Prototipe</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DOK-34</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Test Plan (Unit, Integrasi, UAT, Security, Performance)</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B10</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Excel</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DOK-35</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Deployment Guide</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B10</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DOK-30</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DOK-36</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User Manual</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B10</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DOK-17</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DOK-37</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Administrator Manual</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B10</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DOK-20</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DOK-38</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API Integration Guide</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B10</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DOK-15</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w:t>
            </w:r>
          </w:p>
        </w:tc>
      </w:tr>
      <w:tr>
        <w:tc>
          <w:tcPr>
            <w:tcW w:type="dxa" w:w="8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DOK-39</w:t>
            </w:r>
          </w:p>
        </w:tc>
        <w:tc>
          <w:tcPr>
            <w:tcW w:type="dxa" w:w="3881"/>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Data Migration Strategy</w:t>
            </w:r>
          </w:p>
        </w:tc>
        <w:tc>
          <w:tcPr>
            <w:tcW w:type="dxa" w:w="72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B10</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DOK-07</w:t>
            </w:r>
          </w:p>
        </w:tc>
        <w:tc>
          <w:tcPr>
            <w:tcW w:type="dxa" w:w="180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Excel</w:t>
            </w:r>
          </w:p>
        </w:tc>
      </w:tr>
      <w:tr>
        <w:tc>
          <w:tcPr>
            <w:tcW w:type="dxa" w:w="8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DOK-40</w:t>
            </w:r>
          </w:p>
        </w:tc>
        <w:tc>
          <w:tcPr>
            <w:tcW w:type="dxa" w:w="3881"/>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Roadmap Implementasi 3–5 Tahun</w:t>
            </w:r>
          </w:p>
        </w:tc>
        <w:tc>
          <w:tcPr>
            <w:tcW w:type="dxa" w:w="72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6"/>
                <w:szCs w:val="16"/>
              </w:rPr>
              <w:t xml:space="preserve">B11</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Semua</w:t>
            </w:r>
          </w:p>
        </w:tc>
        <w:tc>
          <w:tcPr>
            <w:tcW w:type="dxa" w:w="180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Word + PowerPoint</w:t>
            </w:r>
          </w:p>
        </w:tc>
      </w:tr>
    </w:tbl>
    <w:p>
      <w:pPr>
        <w:spacing w:after="180" w:before="60"/>
        <w:jc w:val="left"/>
      </w:pPr>
      <w:r>
        <w:rPr>
          <w:rFonts w:ascii="Calibri" w:cs="Calibri" w:eastAsia="Calibri" w:hAnsi="Calibri"/>
          <w:i/>
          <w:iCs/>
          <w:color w:val="5C6B7E"/>
          <w:sz w:val="17"/>
          <w:szCs w:val="17"/>
        </w:rPr>
        <w:t xml:space="preserve">Tabel 3.2 — Katalog lengkap 40 deliverable beserta ketergantungan dan format keluaran.</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4. RENCANA PRODUKSI BERTAHAP</w:t>
      </w:r>
    </w:p>
    <w:p>
      <w:pPr>
        <w:pStyle w:val="Heading2"/>
        <w:spacing w:after="120" w:before="260"/>
      </w:pPr>
      <w:r>
        <w:rPr>
          <w:rFonts w:ascii="Cambria" w:cs="Cambria" w:eastAsia="Cambria" w:hAnsi="Cambria"/>
          <w:b/>
          <w:bCs/>
          <w:color w:val="1B4A8A"/>
          <w:sz w:val="24"/>
          <w:szCs w:val="24"/>
        </w:rPr>
        <w:t xml:space="preserve">4.1 Peta Batch B0 sampai B11</w:t>
      </w:r>
    </w:p>
    <w:p>
      <w:pPr>
        <w:spacing w:after="120" w:line="276"/>
        <w:jc w:val="both"/>
      </w:pPr>
      <w:r>
        <w:rPr>
          <w:rFonts w:ascii="Calibri" w:cs="Calibri" w:eastAsia="Calibri" w:hAnsi="Calibri"/>
          <w:color w:val="20293A"/>
          <w:sz w:val="21"/>
          <w:szCs w:val="21"/>
        </w:rPr>
        <w:t xml:space="preserve">Produksi dibagi menjadi 12 batch. Setiap batch menghasilkan sekumpulan dokumen yang saling melengkapi dan dapat direviu sebagai satu paket. Batch tidak dimulai sebelum prasyaratnya berstatus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1534"/>
        <w:gridCol w:w="2708"/>
        <w:gridCol w:w="2888"/>
        <w:gridCol w:w="1264"/>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Batch</w:t>
            </w:r>
          </w:p>
        </w:tc>
        <w:tc>
          <w:tcPr>
            <w:tcW w:type="dxa" w:w="153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Tema</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Isi</w:t>
            </w:r>
          </w:p>
        </w:tc>
        <w:tc>
          <w:tcPr>
            <w:tcW w:type="dxa" w:w="288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Hasil yang Dijamin</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6"/>
                <w:szCs w:val="16"/>
              </w:rPr>
              <w:t xml:space="preserve">Status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B0</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Fondasi Program</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DOK-00 — Master Plan (dokumen ini)</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Kesepakatan ruang lingkup, katalog, dan standar mutu.</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SELESAI</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B1</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Fondasi Bisnis &amp; Sistem</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DOK-01 BRD · DOK-02 SRS</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Kebutuhan bisnis, sistem, dan non-fungsional dibekukan (baseline).</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SELESAI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B2</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Spesifikasi Rinci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DOK-03 FRS · DOK-04 TRS</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Spesifikasi fungsional per modul &amp; spesifikasi teknis (stack, standar kode).</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BERIKUTNYA</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B3</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Model Data</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DOK-05 Data Dictionary · DOK-06 ERD · DOK-07 Schema</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Model data kanonik + DDL siap eksekusi.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B4</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Pemodelan Proses &amp; Perilaku</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DOK-08 BPMN · DOK-09..14 UML</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Seluruh proses &amp; perilaku sistem termodelkan.</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B5</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Layanan &amp; Antarmuka</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DOK-15 API Spec · DOK-16 Microservice</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Kontrak API dan pembagian layanan (domain-driven).</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B6</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Pengalaman Pengguna</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DOK-17 UI/UX · DOK-18 Design System · DOK-19 Nav Flow · DOK-33 PWA</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Prototipe interaktif + token desain siap pakai engineering.</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B7</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Matriks Kendali</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DOK-20..25 (Role, Workflow, RACI, Notifikasi, SLA, Audit Trail)</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Enam matriks operasional yang dapat langsung dikonfigurasi.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B8</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Keamanan &amp; Kecerdasan</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DOK-26 Cyber · DOK-27 Zero Trust · DOK-28 AI</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Arsitektur keamanan Zero Trust &amp; arsitektur AI-native.</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B9</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Rekayasa &amp; Ketahanan</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DOK-29 DevSecOps · DOK-30 CI/CD · DOK-31 HA/DR · DOK-32 Performance</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Pipeline, ketersediaan tinggi, dan skalabilitas.</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B10</w:t>
            </w:r>
          </w:p>
        </w:tc>
        <w:tc>
          <w:tcPr>
            <w:tcW w:type="dxa" w:w="153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Mutu &amp; Adopsi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DOK-34 Test Plan · DOK-35..39 Panduan &amp; Migrasi</w:t>
            </w:r>
          </w:p>
        </w:tc>
        <w:tc>
          <w:tcPr>
            <w:tcW w:type="dxa" w:w="288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Uji, gelar, migrasi, dan pemberdayaan pengguna.</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6"/>
                <w:szCs w:val="16"/>
              </w:rPr>
              <w:t xml:space="preserve">B11</w:t>
            </w:r>
          </w:p>
        </w:tc>
        <w:tc>
          <w:tcPr>
            <w:tcW w:type="dxa" w:w="153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6"/>
                <w:szCs w:val="16"/>
              </w:rPr>
              <w:t xml:space="preserve">Arah Strategis</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DOK-40 Roadmap 3–5 Tahun</w:t>
            </w:r>
          </w:p>
        </w:tc>
        <w:tc>
          <w:tcPr>
            <w:tcW w:type="dxa" w:w="288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6"/>
                <w:szCs w:val="16"/>
              </w:rPr>
              <w:t xml:space="preserve">Peta jalan multi-tahun &amp; business case eksekutif.</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9C6C11"/>
                <w:sz w:val="16"/>
                <w:szCs w:val="16"/>
              </w:rPr>
              <w:t xml:space="preserve">ANTRE</w:t>
            </w:r>
          </w:p>
        </w:tc>
      </w:tr>
    </w:tbl>
    <w:p>
      <w:pPr>
        <w:spacing w:after="180" w:before="60"/>
        <w:jc w:val="left"/>
      </w:pPr>
      <w:r>
        <w:rPr>
          <w:rFonts w:ascii="Calibri" w:cs="Calibri" w:eastAsia="Calibri" w:hAnsi="Calibri"/>
          <w:i/>
          <w:iCs/>
          <w:color w:val="5C6B7E"/>
          <w:sz w:val="17"/>
          <w:szCs w:val="17"/>
        </w:rPr>
        <w:t xml:space="preserve">Tabel 4.1 — Rencana batch. Status per tanggal terbit dokumen ini.</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C0891F" w:sz="24"/>
              <w:bottom w:val="none" w:color="auto" w:sz="0"/>
              <w:right w:val="none" w:color="auto" w:sz="0"/>
            </w:tcBorders>
            <w:shd w:fill="F6ECD4"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Mengapa Bertahap, Bukan Sekaligus</w:t>
            </w:r>
          </w:p>
          <w:p>
            <w:pPr>
              <w:spacing w:after="40" w:line="264"/>
              <w:jc w:val="both"/>
            </w:pPr>
            <w:r>
              <w:rPr>
                <w:rFonts w:ascii="Calibri" w:cs="Calibri" w:eastAsia="Calibri" w:hAnsi="Calibri"/>
                <w:color w:val="20293A"/>
                <w:sz w:val="19"/>
                <w:szCs w:val="19"/>
              </w:rPr>
              <w:t xml:space="preserve">Data Dictionary tidak dapat benar sebelum FRS benar. ERD tidak dapat benar sebelum Data Dictionary benar. API tidak dapat benar sebelum ERD benar. Memproduksi keempatnya secara paralel akan menghasilkan empat dokumen yang tampak lengkap namun saling bertentangan — bentuk kegagalan yang paling mahal, karena baru terdeteksi ketika pembangunan sudah berjalan.</w:t>
            </w:r>
          </w:p>
          <w:p>
            <w:pPr>
              <w:spacing w:after="40" w:line="264"/>
              <w:jc w:val="both"/>
            </w:pPr>
            <w:r>
              <w:rPr>
                <w:rFonts w:ascii="Calibri" w:cs="Calibri" w:eastAsia="Calibri" w:hAnsi="Calibri"/>
                <w:color w:val="20293A"/>
                <w:sz w:val="19"/>
                <w:szCs w:val="19"/>
              </w:rPr>
              <w:t xml:space="preserve">Bertahap bukan berarti lambat. Setiap batch dapat diselesaikan dalam satu sesi kerja terfokus, dan hasilnya langsung dapat direviu serta dipakai.</w:t>
            </w:r>
          </w:p>
        </w:tc>
      </w:tr>
    </w:tbl>
    <w:p>
      <w:pPr>
        <w:pStyle w:val="Heading2"/>
        <w:spacing w:after="120" w:before="260"/>
      </w:pPr>
      <w:r>
        <w:rPr>
          <w:rFonts w:ascii="Cambria" w:cs="Cambria" w:eastAsia="Cambria" w:hAnsi="Cambria"/>
          <w:b/>
          <w:bCs/>
          <w:color w:val="1B4A8A"/>
          <w:sz w:val="24"/>
          <w:szCs w:val="24"/>
        </w:rPr>
        <w:t xml:space="preserve">4.2 Rantai Ketergantungan</w:t>
      </w:r>
    </w:p>
    <w:p>
      <w:pPr>
        <w:spacing w:after="120" w:line="276"/>
        <w:jc w:val="both"/>
      </w:pPr>
      <w:r>
        <w:rPr>
          <w:rFonts w:ascii="Calibri" w:cs="Calibri" w:eastAsia="Calibri" w:hAnsi="Calibri"/>
          <w:color w:val="20293A"/>
          <w:sz w:val="21"/>
          <w:szCs w:val="21"/>
        </w:rPr>
        <w:t xml:space="preserve">Rantai utama yang menentukan jalur kritis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Rantai</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Alur Ketergantungan</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Kebutuhan</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BRD → SRS → FRS → Use Case → Test Plan</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Data</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FRS → Data Dictionary → ERD → Database Schema → Data Migration Strategy</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Layanan</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FRS + ERD → API Specification → Microservice Architecture → Component Diagram → Deployment Diagram</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Pengalaman</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FRS → UI/UX Design → Design System → Navigation Flow → Mobile PWA → User Manual</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Kendali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FRS + BPMN → Workflow Matrix → RACI / Notification / SLA Matrix; Data Dictionary → Audit Trail Matrix</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Keamanan</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TRS → Cybersecurity Architecture → Zero Trust Architecture → DevSecOps → CI/CD</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Rantai Ketahanan</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Deployment Diagram → HA/DR Design → Performance &amp; Scalability Design</w:t>
            </w:r>
          </w:p>
        </w:tc>
      </w:tr>
    </w:tbl>
    <w:p>
      <w:pPr>
        <w:spacing w:after="180" w:before="60"/>
        <w:jc w:val="left"/>
      </w:pPr>
      <w:r>
        <w:rPr>
          <w:rFonts w:ascii="Calibri" w:cs="Calibri" w:eastAsia="Calibri" w:hAnsi="Calibri"/>
          <w:i/>
          <w:iCs/>
          <w:color w:val="5C6B7E"/>
          <w:sz w:val="17"/>
          <w:szCs w:val="17"/>
        </w:rPr>
        <w:t xml:space="preserve">Tabel 4.2 — Tujuh rantai ketergantungan yang menentukan urutan batch.</w:t>
      </w:r>
    </w:p>
    <w:p>
      <w:pPr>
        <w:pStyle w:val="Heading2"/>
        <w:spacing w:after="120" w:before="260"/>
      </w:pPr>
      <w:r>
        <w:rPr>
          <w:rFonts w:ascii="Cambria" w:cs="Cambria" w:eastAsia="Cambria" w:hAnsi="Cambria"/>
          <w:b/>
          <w:bCs/>
          <w:color w:val="1B4A8A"/>
          <w:sz w:val="24"/>
          <w:szCs w:val="24"/>
        </w:rPr>
        <w:t xml:space="preserve">4.3 Jadwal Indikatif</w:t>
      </w:r>
    </w:p>
    <w:p>
      <w:pPr>
        <w:spacing w:after="120" w:line="276"/>
        <w:jc w:val="both"/>
      </w:pPr>
      <w:r>
        <w:rPr>
          <w:rFonts w:ascii="Calibri" w:cs="Calibri" w:eastAsia="Calibri" w:hAnsi="Calibri"/>
          <w:color w:val="20293A"/>
          <w:sz w:val="21"/>
          <w:szCs w:val="21"/>
        </w:rPr>
        <w:t xml:space="preserve">Jadwal berikut mengasumsikan produksi terfokus dengan reviu paralel dari pihak Bank. Durasi dihitung dalam sesi kerja, bukan hari kalender; kecepatan aktual bergantung pada responsivitas siklus reviu.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3069"/>
        <w:gridCol w:w="1805"/>
        <w:gridCol w:w="3249"/>
      </w:tblGrid>
      <w:tr>
        <w:trPr>
          <w:tblHeader/>
        </w:trPr>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Batch</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Deliverable</w:t>
            </w:r>
          </w:p>
        </w:tc>
        <w:tc>
          <w:tcPr>
            <w:tcW w:type="dxa" w:w="1805"/>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Estimasi Sesi</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Prasyarat Reviu</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B0–B1</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DOK-00, 01, 02</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 sesi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Selesai</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B2</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DOK-03, 04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1–2 sesi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DOK-01, DOK-02</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B3</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DOK-05, 06, 07</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1–2 sesi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DOK-03</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B4</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DOK-08 s.d. 14</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2 sesi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DOK-03, DOK-06</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B5</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DOK-15, 16</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1–2 sesi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DOK-05, DOK-06</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B6</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DOK-17, 18, 19, 33</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2 sesi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DOK-03</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B7</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DOK-20 s.d. 25</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1–2 sesi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DOK-08, DOK-05</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B8</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DOK-26, 27, 28</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1–2 sesi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DOK-04, DOK-16</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B9</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DOK-29 s.d. 32</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1–2 sesi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DOK-14, DOK-26</w:t>
            </w:r>
          </w:p>
        </w:tc>
      </w:tr>
      <w:tr>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B10</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DOK-34 s.d. 39</w:t>
            </w:r>
          </w:p>
        </w:tc>
        <w:tc>
          <w:tcPr>
            <w:tcW w:type="dxa" w:w="1805"/>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2 sesi</w:t>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Baseline DOK-15, DOK-17, DOK-30</w:t>
            </w:r>
          </w:p>
        </w:tc>
      </w:tr>
      <w:tr>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8"/>
                <w:szCs w:val="18"/>
              </w:rPr>
              <w:t xml:space="preserve">B11</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DOK-40</w:t>
            </w:r>
          </w:p>
        </w:tc>
        <w:tc>
          <w:tcPr>
            <w:tcW w:type="dxa" w:w="1805"/>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8"/>
                <w:szCs w:val="18"/>
              </w:rPr>
              <w:t xml:space="preserve">1 sesi</w:t>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Seluruh batch</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5. STANDAR MUTU DOKUMEN</w:t>
      </w:r>
    </w:p>
    <w:p>
      <w:pPr>
        <w:pStyle w:val="Heading2"/>
        <w:spacing w:after="120" w:before="260"/>
      </w:pPr>
      <w:r>
        <w:rPr>
          <w:rFonts w:ascii="Cambria" w:cs="Cambria" w:eastAsia="Cambria" w:hAnsi="Cambria"/>
          <w:b/>
          <w:bCs/>
          <w:color w:val="1B4A8A"/>
          <w:sz w:val="24"/>
          <w:szCs w:val="24"/>
        </w:rPr>
        <w:t xml:space="preserve">5.1 Definition of Done</w:t>
      </w:r>
    </w:p>
    <w:p>
      <w:pPr>
        <w:spacing w:after="120" w:line="276"/>
        <w:jc w:val="both"/>
      </w:pPr>
      <w:r>
        <w:rPr>
          <w:rFonts w:ascii="Calibri" w:cs="Calibri" w:eastAsia="Calibri" w:hAnsi="Calibri"/>
          <w:color w:val="20293A"/>
          <w:sz w:val="21"/>
          <w:szCs w:val="21"/>
        </w:rPr>
        <w:t xml:space="preserve">Dokumen dinyatakan selesai hanya bila seluruh kriteria berikut terpenuhi. Kriteria ini diperiksa sebelum status diubah menjadi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1986"/>
        <w:gridCol w:w="6408"/>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Kriteria</w:t>
            </w:r>
          </w:p>
        </w:tc>
        <w:tc>
          <w:tcPr>
            <w:tcW w:type="dxa" w:w="64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Uraian</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D-01</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Ketertelusuran</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kebutuhan memiliki ID unik dan tertaut ke kebutuhan induk (BR → FR → UC → TC). Tidak boleh ada FR yatim.</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D-02</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Ketergantungan Terpenuhi</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Dokumen prasyarat pada kolom "Bergantung Pada" telah berstatus Disetujui atau Baseline.</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D-03</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Konsistensi Kanonik</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Kode modul, kode peran, kode siklus ICOFR, dan palet merek identik di seluruh dokumen.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D-04</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Dapat Diuji</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kebutuhan fungsional dirumuskan sedemikian rupa sehingga dapat diturunkan menjadi kasus uji yang lulus/gagal secara objektif.</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D-05</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Rujukan Regulasi</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Setiap kebutuhan yang bersumber dari regulasi mencantumkan pasal/klausul rujukan.</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D-06</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Reviu Berjenjang</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Telah direviu Konsultan (penyusun) → UKK ICOFR / Product Owner (substansi) → Divisi TI (kelayakan teknis) → disetujui Sponsor.</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D-07</w:t>
            </w:r>
          </w:p>
        </w:tc>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Kendali Versi</w:t>
            </w:r>
          </w:p>
        </w:tc>
        <w:tc>
          <w:tcPr>
            <w:tcW w:type="dxa" w:w="64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Riwayat revisi terisi; versi X.0 hanya untuk dokumen yang telah disetujui (baseline).</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D-08</w:t>
            </w:r>
          </w:p>
        </w:tc>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Bebas Placeholder</w:t>
            </w:r>
          </w:p>
        </w:tc>
        <w:tc>
          <w:tcPr>
            <w:tcW w:type="dxa" w:w="64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Tidak ada "TBD" tanpa pemilik dan tanggal target penyelesaian.</w:t>
            </w:r>
          </w:p>
        </w:tc>
      </w:tr>
    </w:tbl>
    <w:p>
      <w:pPr>
        <w:pStyle w:val="Heading2"/>
        <w:spacing w:after="120" w:before="260"/>
      </w:pPr>
      <w:r>
        <w:rPr>
          <w:rFonts w:ascii="Cambria" w:cs="Cambria" w:eastAsia="Cambria" w:hAnsi="Cambria"/>
          <w:b/>
          <w:bCs/>
          <w:color w:val="1B4A8A"/>
          <w:sz w:val="24"/>
          <w:szCs w:val="24"/>
        </w:rPr>
        <w:t xml:space="preserve">5.2 Penamaan Berkas &amp; Versioning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Aturan</w:t>
            </w:r>
          </w:p>
        </w:tc>
        <w:tc>
          <w:tcPr>
            <w:tcW w:type="dxa" w:w="686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Ketentuan</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Format nama berkas</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DOK-NN_Nama_Ringkas_vX.Y.ext — tanpa spasi, tanpa karakter khusus.</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Versi 0.x</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Draf internal. Belum boleh dijadikan rujukan oleh dokumen lain.</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Versi 1.0, 2.0, ...</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Baseline. Disetujui Sponsor. Boleh dijadikan rujukan.</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Versi X.1, X.2, ...</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Perbaikan minor pasca-baseline (koreksi redaksional, klarifikasi) tanpa mengubah substansi kebutuhan.</w:t>
            </w:r>
          </w:p>
        </w:tc>
      </w:tr>
      <w:tr>
        <w:tc>
          <w:tcPr>
            <w:tcW w:type="dxa" w:w="216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Perubahan substansi</w:t>
            </w:r>
          </w:p>
        </w:tc>
        <w:tc>
          <w:tcPr>
            <w:tcW w:type="dxa" w:w="686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Wajib melalui Change Request bernomor (CR-NNN) dengan analisis dampak terhadap dokumen hilir. Menaikkan versi mayor.</w:t>
            </w:r>
          </w:p>
        </w:tc>
      </w:tr>
      <w:tr>
        <w:tc>
          <w:tcPr>
            <w:tcW w:type="dxa" w:w="216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Riwayat revisi</w:t>
            </w:r>
          </w:p>
        </w:tc>
        <w:tc>
          <w:tcPr>
            <w:tcW w:type="dxa" w:w="686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Wajib ada di setiap dokumen, mencatat versi, tanggal, deskripsi perubahan, dan penyusun.</w:t>
            </w:r>
          </w:p>
        </w:tc>
      </w:tr>
    </w:tbl>
    <w:p>
      <w:pPr>
        <w:pStyle w:val="Heading2"/>
        <w:spacing w:after="120" w:before="260"/>
      </w:pPr>
      <w:r>
        <w:rPr>
          <w:rFonts w:ascii="Cambria" w:cs="Cambria" w:eastAsia="Cambria" w:hAnsi="Cambria"/>
          <w:b/>
          <w:bCs/>
          <w:color w:val="1B4A8A"/>
          <w:sz w:val="24"/>
          <w:szCs w:val="24"/>
        </w:rPr>
        <w:t xml:space="preserve">5.3 Konvensi Penomoran Kebutuhan</w:t>
      </w:r>
    </w:p>
    <w:p>
      <w:pPr>
        <w:spacing w:after="120" w:line="276"/>
        <w:jc w:val="both"/>
      </w:pPr>
      <w:r>
        <w:rPr>
          <w:rFonts w:ascii="Calibri" w:cs="Calibri" w:eastAsia="Calibri" w:hAnsi="Calibri"/>
          <w:color w:val="20293A"/>
          <w:sz w:val="21"/>
          <w:szCs w:val="21"/>
        </w:rPr>
        <w:t xml:space="preserve">Prefiks berikut bersifat kanonik dan tidak boleh diciptakan di luar daftar ini tanpa pemutakhiran Master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3069"/>
        <w:gridCol w:w="2347"/>
        <w:gridCol w:w="2527"/>
      </w:tblGrid>
      <w:tr>
        <w:trPr>
          <w:tblHeader/>
        </w:trPr>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Prefiks</w:t>
            </w:r>
          </w:p>
        </w:tc>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Jenis</w:t>
            </w:r>
          </w:p>
        </w:tc>
        <w:tc>
          <w:tcPr>
            <w:tcW w:type="dxa" w:w="234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Format</w:t>
            </w:r>
          </w:p>
        </w:tc>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Contoh</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BR</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Business Requirement</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BR-NNN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BR-014</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BRL</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Business Rule</w:t>
            </w:r>
          </w:p>
        </w:tc>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BRL-NNN</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BRL-007</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FR</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Functional Requirement</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FR-&lt;MOD&gt;-NNN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FR-ICF-023</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NFR</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Non-Functional Requirement</w:t>
            </w:r>
          </w:p>
        </w:tc>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NFR-NNN</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NFR-011</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SEC</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Security Requirement</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SEC-NNN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SEC-032</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AIR</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AI Requirement</w:t>
            </w:r>
          </w:p>
        </w:tc>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AIR-NNN</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AIR-009</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INT</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Integration Requirement</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INT-NNN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INT-004</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DAT</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Data Requirement</w:t>
            </w:r>
          </w:p>
        </w:tc>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DAT-NNN</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DAT-018</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WF</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Workflow</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WF-&lt;MOD&gt;-NN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WF-ICF-03</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UC</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Use Case</w:t>
            </w:r>
          </w:p>
        </w:tc>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UC-&lt;MOD&gt;-NNN</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UC-ERM-012</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TC</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Test Case</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TC-&lt;MOD&gt;-NNN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TC-ICF-105</w:t>
            </w:r>
          </w:p>
        </w:tc>
      </w:tr>
      <w:tr>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ADR</w:t>
            </w:r>
          </w:p>
        </w:tc>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Architecture Decision Record</w:t>
            </w:r>
          </w:p>
        </w:tc>
        <w:tc>
          <w:tcPr>
            <w:tcW w:type="dxa" w:w="234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ADR-NNN</w:t>
            </w:r>
          </w:p>
        </w:tc>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ADR-002</w:t>
            </w:r>
          </w:p>
        </w:tc>
      </w:tr>
      <w:tr>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CR</w:t>
            </w:r>
          </w:p>
        </w:tc>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Change Request</w:t>
            </w:r>
          </w:p>
        </w:tc>
        <w:tc>
          <w:tcPr>
            <w:tcW w:type="dxa" w:w="234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CR-NNN</w:t>
            </w:r>
          </w:p>
        </w:tc>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CR-001</w:t>
            </w:r>
          </w:p>
        </w:tc>
      </w:tr>
    </w:tbl>
    <w:p>
      <w:pPr>
        <w:spacing w:after="180" w:before="60"/>
        <w:jc w:val="left"/>
      </w:pPr>
      <w:r>
        <w:rPr>
          <w:rFonts w:ascii="Calibri" w:cs="Calibri" w:eastAsia="Calibri" w:hAnsi="Calibri"/>
          <w:i/>
          <w:iCs/>
          <w:color w:val="5C6B7E"/>
          <w:sz w:val="17"/>
          <w:szCs w:val="17"/>
        </w:rPr>
        <w:t xml:space="preserve">Tabel 5.3 — Konvensi penomoran kanonik. &lt;MOD&gt; = kode modul tiga huruf pada Tabel 2.2.</w:t>
      </w:r>
    </w:p>
    <w:p>
      <w:pPr>
        <w:pStyle w:val="Heading2"/>
        <w:spacing w:after="120" w:before="260"/>
      </w:pPr>
      <w:r>
        <w:rPr>
          <w:rFonts w:ascii="Cambria" w:cs="Cambria" w:eastAsia="Cambria" w:hAnsi="Cambria"/>
          <w:b/>
          <w:bCs/>
          <w:color w:val="1B4A8A"/>
          <w:sz w:val="24"/>
          <w:szCs w:val="24"/>
        </w:rPr>
        <w:t xml:space="preserve">5.4 Rantai Ketertelusuran</w:t>
      </w:r>
    </w:p>
    <w:p>
      <w:pPr>
        <w:spacing w:after="120" w:line="276"/>
        <w:jc w:val="both"/>
      </w:pPr>
      <w:r>
        <w:rPr>
          <w:rFonts w:ascii="Calibri" w:cs="Calibri" w:eastAsia="Calibri" w:hAnsi="Calibri"/>
          <w:color w:val="20293A"/>
          <w:sz w:val="21"/>
          <w:szCs w:val="21"/>
        </w:rPr>
        <w:t xml:space="preserve">Setiap kebutuhan harus dapat ditelusuri dari sumber regulasinya sampai ke kasus ujinya. Rantai ini diverifikasi pada setiap akhir batch; kebutuhan yang tidak dapat ditelusuri dianggap cacat.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none" w:color="auto" w:sz="0"/>
              <w:left w:val="single" w:color="1E5AA8" w:sz="24"/>
              <w:bottom w:val="none" w:color="auto" w:sz="0"/>
              <w:right w:val="none" w:color="auto" w:sz="0"/>
            </w:tcBorders>
            <w:shd w:fill="F2F5FA" w:color="auto" w:val="clear"/>
            <w:tcMar>
              <w:top w:type="dxa" w:w="100"/>
              <w:left w:type="dxa" w:w="160"/>
              <w:bottom w:type="dxa" w:w="100"/>
              <w:right w:type="dxa" w:w="140"/>
            </w:tcMar>
          </w:tcPr>
          <w:p>
            <w:pPr>
              <w:spacing w:after="60" w:before="40"/>
            </w:pPr>
            <w:r>
              <w:rPr>
                <w:rFonts w:ascii="Calibri" w:cs="Calibri" w:eastAsia="Calibri" w:hAnsi="Calibri"/>
                <w:b/>
                <w:bCs/>
                <w:color w:val="13366B"/>
                <w:sz w:val="20"/>
                <w:szCs w:val="20"/>
              </w:rPr>
              <w:t xml:space="preserve">Rantai Ketertelusuran Wajib</w:t>
            </w:r>
          </w:p>
          <w:p>
            <w:pPr>
              <w:spacing w:after="40" w:line="264"/>
              <w:jc w:val="both"/>
            </w:pPr>
            <w:r>
              <w:rPr>
                <w:rFonts w:ascii="Calibri" w:cs="Calibri" w:eastAsia="Calibri" w:hAnsi="Calibri"/>
                <w:color w:val="20293A"/>
                <w:sz w:val="19"/>
                <w:szCs w:val="19"/>
              </w:rPr>
              <w:t xml:space="preserve">Regulasi / Kebutuhan Bisnis  →  BR-NNN  →  FR-&lt;MOD&gt;-NNN  →  UC-&lt;MOD&gt;-NNN  →  TC-&lt;MOD&gt;-NNN  →  Bukti Uji</w:t>
            </w:r>
          </w:p>
          <w:p>
            <w:pPr>
              <w:spacing w:after="40" w:line="264"/>
              <w:jc w:val="both"/>
            </w:pPr>
            <w:r>
              <w:rPr>
                <w:rFonts w:ascii="Calibri" w:cs="Calibri" w:eastAsia="Calibri" w:hAnsi="Calibri"/>
                <w:color w:val="20293A"/>
                <w:sz w:val="19"/>
                <w:szCs w:val="19"/>
              </w:rPr>
              <w:t xml:space="preserve">Contoh: POJK 15/2024 Pasal 8 (kewajiban lapor ke OJK) → BR-031 (platform harus membangkitkan laporan pengendalian internal untuk OJK) → FR-RPT-014 (generator laporan OJK dengan template resmi) → UC-RPT-006 (Direktur Kepatuhan membangkitkan &amp; menandatangani laporan) → TC-RPT-041 (laporan terbangkit lengkap, tertandatangani digital, dan terarsip immutable).</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6. TATA KELOLA PRODUKSI</w:t>
      </w:r>
    </w:p>
    <w:p>
      <w:pPr>
        <w:pStyle w:val="Heading2"/>
        <w:spacing w:after="120" w:before="260"/>
      </w:pPr>
      <w:r>
        <w:rPr>
          <w:rFonts w:ascii="Cambria" w:cs="Cambria" w:eastAsia="Cambria" w:hAnsi="Cambria"/>
          <w:b/>
          <w:bCs/>
          <w:color w:val="1B4A8A"/>
          <w:sz w:val="24"/>
          <w:szCs w:val="24"/>
        </w:rPr>
        <w:t xml:space="preserve">6.1 Peran &amp; Matriks RACI</w:t>
      </w:r>
    </w:p>
    <w:p>
      <w:pPr>
        <w:spacing w:after="120" w:line="276"/>
        <w:jc w:val="both"/>
      </w:pPr>
      <w:r>
        <w:rPr>
          <w:rFonts w:ascii="Calibri" w:cs="Calibri" w:eastAsia="Calibri" w:hAnsi="Calibri"/>
          <w:color w:val="20293A"/>
          <w:sz w:val="21"/>
          <w:szCs w:val="21"/>
        </w:rPr>
        <w:t xml:space="preserve">Enam peran terlibat dalam produksi setiap deliverable. R = Responsible (mengerjakan), A = Accountable (memutuskan, satu orang), C = Consulted (dimintai pendapat), I = Informed (diberi tahu).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083"/>
        <w:gridCol w:w="1083"/>
        <w:gridCol w:w="1083"/>
        <w:gridCol w:w="1264"/>
        <w:gridCol w:w="903"/>
        <w:gridCol w:w="1083"/>
      </w:tblGrid>
      <w:tr>
        <w:trPr>
          <w:tblHeader/>
        </w:trPr>
        <w:tc>
          <w:tcPr>
            <w:tcW w:type="dxa" w:w="2527"/>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Aktivitas</w:t>
            </w:r>
          </w:p>
        </w:tc>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Konsultan</w:t>
            </w:r>
          </w:p>
        </w:tc>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PO / UKK</w:t>
            </w:r>
          </w:p>
        </w:tc>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Divisi TI</w:t>
            </w:r>
          </w:p>
        </w:tc>
        <w:tc>
          <w:tcPr>
            <w:tcW w:type="dxa" w:w="1264"/>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Risiko &amp; Kepatuhan</w:t>
            </w:r>
          </w:p>
        </w:tc>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SKAI</w:t>
            </w:r>
          </w:p>
        </w:tc>
        <w:tc>
          <w:tcPr>
            <w:tcW w:type="dxa" w:w="108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Sponsor</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Penyusunan draf</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Reviu substansi bisnis</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R/A</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Reviu kelayakan teknis</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R/A</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Reviu risiko &amp; kepatuhan</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R/A</w:t>
            </w:r>
          </w:p>
        </w:tc>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Reviu asurans (independen)</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R/A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r>
      <w:tr>
        <w:tc>
          <w:tcPr>
            <w:tcW w:type="dxa" w:w="2527"/>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Persetujuan &amp; baseline</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264"/>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08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A</w:t>
            </w:r>
          </w:p>
        </w:tc>
      </w:tr>
      <w:tr>
        <w:tc>
          <w:tcPr>
            <w:tcW w:type="dxa" w:w="2527"/>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7"/>
                <w:szCs w:val="17"/>
              </w:rPr>
              <w:t xml:space="preserve">Pengelolaan perubahan (CR)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R</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A</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1264"/>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C</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c>
          <w:tcPr>
            <w:tcW w:type="dxa" w:w="108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20293A"/>
                <w:sz w:val="17"/>
                <w:szCs w:val="17"/>
              </w:rPr>
              <w:t xml:space="preserve">I</w:t>
            </w:r>
          </w:p>
        </w:tc>
      </w:tr>
    </w:tbl>
    <w:p>
      <w:pPr>
        <w:spacing w:after="180" w:before="60"/>
        <w:jc w:val="left"/>
      </w:pPr>
      <w:r>
        <w:rPr>
          <w:rFonts w:ascii="Calibri" w:cs="Calibri" w:eastAsia="Calibri" w:hAnsi="Calibri"/>
          <w:i/>
          <w:iCs/>
          <w:color w:val="5C6B7E"/>
          <w:sz w:val="17"/>
          <w:szCs w:val="17"/>
        </w:rPr>
        <w:t xml:space="preserve">Tabel 6.1 — Matriks RACI produksi dokumen.</w:t>
      </w:r>
    </w:p>
    <w:p>
      <w:pPr>
        <w:pStyle w:val="Heading2"/>
        <w:spacing w:after="120" w:before="260"/>
      </w:pPr>
      <w:r>
        <w:rPr>
          <w:rFonts w:ascii="Cambria" w:cs="Cambria" w:eastAsia="Cambria" w:hAnsi="Cambria"/>
          <w:b/>
          <w:bCs/>
          <w:color w:val="1B4A8A"/>
          <w:sz w:val="24"/>
          <w:szCs w:val="24"/>
        </w:rPr>
        <w:t xml:space="preserve">6.2 Alur Reviu &amp; Persetujuan</w:t>
      </w:r>
    </w:p>
    <w:p>
      <w:pPr>
        <w:pStyle w:val="ListParagraph"/>
        <w:numPr>
          <w:ilvl w:val="0"/>
          <w:numId w:val="2"/>
        </w:numPr>
        <w:spacing w:after="60" w:line="264"/>
        <w:jc w:val="both"/>
      </w:pPr>
      <w:r>
        <w:rPr>
          <w:rFonts w:ascii="Calibri" w:cs="Calibri" w:eastAsia="Calibri" w:hAnsi="Calibri"/>
          <w:color w:val="20293A"/>
          <w:sz w:val="21"/>
          <w:szCs w:val="21"/>
        </w:rPr>
        <w:t xml:space="preserve">Konsultan menyusun draf (v0.1) dan melakukan pemeriksaan mandiri terhadap Definition of Done (Bab 5.1).</w:t>
      </w:r>
    </w:p>
    <w:p>
      <w:pPr>
        <w:pStyle w:val="ListParagraph"/>
        <w:numPr>
          <w:ilvl w:val="0"/>
          <w:numId w:val="2"/>
        </w:numPr>
        <w:spacing w:after="60" w:line="264"/>
        <w:jc w:val="both"/>
      </w:pPr>
      <w:r>
        <w:rPr>
          <w:rFonts w:ascii="Calibri" w:cs="Calibri" w:eastAsia="Calibri" w:hAnsi="Calibri"/>
          <w:color w:val="20293A"/>
          <w:sz w:val="21"/>
          <w:szCs w:val="21"/>
        </w:rPr>
        <w:t xml:space="preserve">Product Owner / UKK ICOFR mereviu substansi bisnis. Komentar dikembalikan dalam satu paket, bukan bertahap.</w:t>
      </w:r>
    </w:p>
    <w:p>
      <w:pPr>
        <w:pStyle w:val="ListParagraph"/>
        <w:numPr>
          <w:ilvl w:val="0"/>
          <w:numId w:val="2"/>
        </w:numPr>
        <w:spacing w:after="60" w:line="264"/>
        <w:jc w:val="both"/>
      </w:pPr>
      <w:r>
        <w:rPr>
          <w:rFonts w:ascii="Calibri" w:cs="Calibri" w:eastAsia="Calibri" w:hAnsi="Calibri"/>
          <w:color w:val="20293A"/>
          <w:sz w:val="21"/>
          <w:szCs w:val="21"/>
        </w:rPr>
        <w:t xml:space="preserve">Divisi TI mereviu kelayakan teknis; Manajemen Risiko &amp; Kepatuhan mereviu pemenuhan regulasi. Kedua reviu berjalan paralel.</w:t>
      </w:r>
    </w:p>
    <w:p>
      <w:pPr>
        <w:pStyle w:val="ListParagraph"/>
        <w:numPr>
          <w:ilvl w:val="0"/>
          <w:numId w:val="2"/>
        </w:numPr>
        <w:spacing w:after="60" w:line="264"/>
        <w:jc w:val="both"/>
      </w:pPr>
      <w:r>
        <w:rPr>
          <w:rFonts w:ascii="Calibri" w:cs="Calibri" w:eastAsia="Calibri" w:hAnsi="Calibri"/>
          <w:color w:val="20293A"/>
          <w:sz w:val="21"/>
          <w:szCs w:val="21"/>
        </w:rPr>
        <w:t xml:space="preserve">SKAI memberikan pandangan asurans independen atas kecukupan rancangan pengendalian yang tertanam dalam sistem.</w:t>
      </w:r>
    </w:p>
    <w:p>
      <w:pPr>
        <w:pStyle w:val="ListParagraph"/>
        <w:numPr>
          <w:ilvl w:val="0"/>
          <w:numId w:val="2"/>
        </w:numPr>
        <w:spacing w:after="60" w:line="264"/>
        <w:jc w:val="both"/>
      </w:pPr>
      <w:r>
        <w:rPr>
          <w:rFonts w:ascii="Calibri" w:cs="Calibri" w:eastAsia="Calibri" w:hAnsi="Calibri"/>
          <w:color w:val="20293A"/>
          <w:sz w:val="21"/>
          <w:szCs w:val="21"/>
        </w:rPr>
        <w:t xml:space="preserve">Konsultan menerbitkan v1.0 dengan seluruh komentar terselesaikan. Komentar yang ditolak wajib disertai alasan tertulis.</w:t>
      </w:r>
    </w:p>
    <w:p>
      <w:pPr>
        <w:pStyle w:val="ListParagraph"/>
        <w:numPr>
          <w:ilvl w:val="0"/>
          <w:numId w:val="2"/>
        </w:numPr>
        <w:spacing w:after="60" w:line="264"/>
        <w:jc w:val="both"/>
      </w:pPr>
      <w:r>
        <w:rPr>
          <w:rFonts w:ascii="Calibri" w:cs="Calibri" w:eastAsia="Calibri" w:hAnsi="Calibri"/>
          <w:color w:val="20293A"/>
          <w:sz w:val="21"/>
          <w:szCs w:val="21"/>
        </w:rPr>
        <w:t xml:space="preserve">Sponsor menyetujui dan membekukan sebagai Baseline. Batch berikutnya dibuka.</w:t>
      </w:r>
    </w:p>
    <w:p>
      <w:pPr>
        <w:spacing w:after="120"/>
      </w:pPr>
    </w:p>
    <w:p>
      <w:pPr>
        <w:spacing w:after="120" w:line="276"/>
        <w:jc w:val="both"/>
      </w:pPr>
      <w:r>
        <w:rPr>
          <w:rFonts w:ascii="Calibri" w:cs="Calibri" w:eastAsia="Calibri" w:hAnsi="Calibri"/>
          <w:i/>
          <w:iCs/>
          <w:color w:val="5C6B7E"/>
          <w:sz w:val="21"/>
          <w:szCs w:val="21"/>
        </w:rPr>
        <w:t xml:space="preserve">Perubahan pasca-baseline hanya melalui Change Request. Setiap CR wajib menyertakan: dokumen hilir yang terdampak, estimasi kerja ulang, dan rekomendasi apakah perubahan diterapkan segera atau ditunda ke rilis berikutnya.</w:t>
      </w:r>
    </w:p>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7. ASUMSI, BATASAN &amp; RISIKO PROGRAM</w:t>
      </w:r>
    </w:p>
    <w:p>
      <w:pPr>
        <w:pStyle w:val="Heading2"/>
        <w:spacing w:after="120" w:before="260"/>
      </w:pPr>
      <w:r>
        <w:rPr>
          <w:rFonts w:ascii="Cambria" w:cs="Cambria" w:eastAsia="Cambria" w:hAnsi="Cambria"/>
          <w:b/>
          <w:bCs/>
          <w:color w:val="1B4A8A"/>
          <w:sz w:val="24"/>
          <w:szCs w:val="24"/>
        </w:rPr>
        <w:t xml:space="preserve">Asumsi</w:t>
      </w:r>
    </w:p>
    <w:p>
      <w:pPr>
        <w:pStyle w:val="ListParagraph"/>
        <w:numPr>
          <w:ilvl w:val="0"/>
          <w:numId w:val="3"/>
        </w:numPr>
        <w:spacing w:after="60" w:line="264"/>
        <w:jc w:val="both"/>
      </w:pPr>
      <w:r>
        <w:rPr>
          <w:rFonts w:ascii="Calibri" w:cs="Calibri" w:eastAsia="Calibri" w:hAnsi="Calibri"/>
          <w:color w:val="20293A"/>
          <w:sz w:val="21"/>
          <w:szCs w:val="21"/>
        </w:rPr>
        <w:t xml:space="preserve">Bank menyediakan narasumber (Process Owner, TI, Risiko, Kepatuhan, SKAI) yang berwenang mengambil keputusan dalam siklus reviu.</w:t>
      </w:r>
    </w:p>
    <w:p>
      <w:pPr>
        <w:pStyle w:val="ListParagraph"/>
        <w:numPr>
          <w:ilvl w:val="0"/>
          <w:numId w:val="3"/>
        </w:numPr>
        <w:spacing w:after="60" w:line="264"/>
        <w:jc w:val="both"/>
      </w:pPr>
      <w:r>
        <w:rPr>
          <w:rFonts w:ascii="Calibri" w:cs="Calibri" w:eastAsia="Calibri" w:hAnsi="Calibri"/>
          <w:color w:val="20293A"/>
          <w:sz w:val="21"/>
          <w:szCs w:val="21"/>
        </w:rPr>
        <w:t xml:space="preserve">Data referensi ICOFR yang telah tersedia (akun signifikan, BPM, RCM, ELC, ITGC) menjadi masukan kanonik dan tidak disusun ulang dari nol.</w:t>
      </w:r>
    </w:p>
    <w:p>
      <w:pPr>
        <w:pStyle w:val="ListParagraph"/>
        <w:numPr>
          <w:ilvl w:val="0"/>
          <w:numId w:val="3"/>
        </w:numPr>
        <w:spacing w:after="60" w:line="264"/>
        <w:jc w:val="both"/>
      </w:pPr>
      <w:r>
        <w:rPr>
          <w:rFonts w:ascii="Calibri" w:cs="Calibri" w:eastAsia="Calibri" w:hAnsi="Calibri"/>
          <w:color w:val="20293A"/>
          <w:sz w:val="21"/>
          <w:szCs w:val="21"/>
        </w:rPr>
        <w:t xml:space="preserve">Platform akan digelar di infrastruktur yang berada dalam yurisdiksi Indonesia (on-premise atau sovereign cloud).</w:t>
      </w:r>
    </w:p>
    <w:p>
      <w:pPr>
        <w:pStyle w:val="ListParagraph"/>
        <w:numPr>
          <w:ilvl w:val="0"/>
          <w:numId w:val="3"/>
        </w:numPr>
        <w:spacing w:after="60" w:line="264"/>
        <w:jc w:val="both"/>
      </w:pPr>
      <w:r>
        <w:rPr>
          <w:rFonts w:ascii="Calibri" w:cs="Calibri" w:eastAsia="Calibri" w:hAnsi="Calibri"/>
          <w:color w:val="20293A"/>
          <w:sz w:val="21"/>
          <w:szCs w:val="21"/>
        </w:rPr>
        <w:t xml:space="preserve">Kebutuhan multi-tenant tidak berlaku pada rilis pertama — platform melayani satu entitas bank beserta unit kerjanya.</w:t>
      </w:r>
    </w:p>
    <w:p>
      <w:pPr>
        <w:pStyle w:val="Heading2"/>
        <w:spacing w:after="120" w:before="260"/>
      </w:pPr>
      <w:r>
        <w:rPr>
          <w:rFonts w:ascii="Cambria" w:cs="Cambria" w:eastAsia="Cambria" w:hAnsi="Cambria"/>
          <w:b/>
          <w:bCs/>
          <w:color w:val="1B4A8A"/>
          <w:sz w:val="24"/>
          <w:szCs w:val="24"/>
        </w:rPr>
        <w:t xml:space="preserve">Batasan</w:t>
      </w:r>
    </w:p>
    <w:p>
      <w:pPr>
        <w:pStyle w:val="ListParagraph"/>
        <w:numPr>
          <w:ilvl w:val="0"/>
          <w:numId w:val="3"/>
        </w:numPr>
        <w:spacing w:after="60" w:line="264"/>
        <w:jc w:val="both"/>
      </w:pPr>
      <w:r>
        <w:rPr>
          <w:rFonts w:ascii="Calibri" w:cs="Calibri" w:eastAsia="Calibri" w:hAnsi="Calibri"/>
          <w:color w:val="20293A"/>
          <w:sz w:val="21"/>
          <w:szCs w:val="21"/>
        </w:rPr>
        <w:t xml:space="preserve">Seluruh dokumen disusun dalam Bahasa Indonesia; istilah teknis baku (control, assertion, walkthrough) dipertahankan dalam bahasa aslinya bila terjemahannya menimbulkan ambiguitas.</w:t>
      </w:r>
    </w:p>
    <w:p>
      <w:pPr>
        <w:pStyle w:val="ListParagraph"/>
        <w:numPr>
          <w:ilvl w:val="0"/>
          <w:numId w:val="3"/>
        </w:numPr>
        <w:spacing w:after="60" w:line="264"/>
        <w:jc w:val="both"/>
      </w:pPr>
      <w:r>
        <w:rPr>
          <w:rFonts w:ascii="Calibri" w:cs="Calibri" w:eastAsia="Calibri" w:hAnsi="Calibri"/>
          <w:color w:val="20293A"/>
          <w:sz w:val="21"/>
          <w:szCs w:val="21"/>
        </w:rPr>
        <w:t xml:space="preserve">Estimasi biaya dan waktu pembangunan tidak dinyatakan sebelum DOK-40; angka apa pun sebelum itu bersifat spekulatif.</w:t>
      </w:r>
    </w:p>
    <w:p>
      <w:pPr>
        <w:pStyle w:val="ListParagraph"/>
        <w:numPr>
          <w:ilvl w:val="0"/>
          <w:numId w:val="3"/>
        </w:numPr>
        <w:spacing w:after="60" w:line="264"/>
        <w:jc w:val="both"/>
      </w:pPr>
      <w:r>
        <w:rPr>
          <w:rFonts w:ascii="Calibri" w:cs="Calibri" w:eastAsia="Calibri" w:hAnsi="Calibri"/>
          <w:color w:val="20293A"/>
          <w:sz w:val="21"/>
          <w:szCs w:val="21"/>
        </w:rPr>
        <w:t xml:space="preserve">Contoh data pengendalian bersifat ilustratif dan wajib divalidasi Process Owner sebelum dipakai dalam pengujian nyata.</w:t>
      </w:r>
    </w:p>
    <w:p>
      <w:pPr>
        <w:pStyle w:val="Heading2"/>
        <w:spacing w:after="120" w:before="260"/>
      </w:pPr>
      <w:r>
        <w:rPr>
          <w:rFonts w:ascii="Cambria" w:cs="Cambria" w:eastAsia="Cambria" w:hAnsi="Cambria"/>
          <w:b/>
          <w:bCs/>
          <w:color w:val="1B4A8A"/>
          <w:sz w:val="24"/>
          <w:szCs w:val="24"/>
        </w:rPr>
        <w:t xml:space="preserve">Risiko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32"/>
        <w:gridCol w:w="2979"/>
        <w:gridCol w:w="903"/>
        <w:gridCol w:w="4512"/>
      </w:tblGrid>
      <w:tr>
        <w:trPr>
          <w:tblHeader/>
        </w:trPr>
        <w:tc>
          <w:tcPr>
            <w:tcW w:type="dxa" w:w="63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ID</w:t>
            </w:r>
          </w:p>
        </w:tc>
        <w:tc>
          <w:tcPr>
            <w:tcW w:type="dxa" w:w="297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Risiko</w:t>
            </w:r>
          </w:p>
        </w:tc>
        <w:tc>
          <w:tcPr>
            <w:tcW w:type="dxa" w:w="903"/>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Tingkat</w:t>
            </w:r>
          </w:p>
        </w:tc>
        <w:tc>
          <w:tcPr>
            <w:tcW w:type="dxa" w:w="4512"/>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7"/>
                <w:szCs w:val="17"/>
              </w:rPr>
              <w:t xml:space="preserve">Mitigasi</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MR-01</w:t>
            </w:r>
          </w:p>
        </w:tc>
        <w:tc>
          <w:tcPr>
            <w:tcW w:type="dxa" w:w="29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Cakupan membengkak (scope creep) karena modul GRC bersifat sangat luas.</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7"/>
                <w:szCs w:val="17"/>
              </w:rPr>
              <w:t xml:space="preserve">Tinggi</w:t>
            </w:r>
          </w:p>
        </w:tc>
        <w:tc>
          <w:tcPr>
            <w:tcW w:type="dxa" w:w="45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Katalog 40 deliverable dibekukan pada B0. Penambahan modul hanya melalui Change Request bernomor dengan analisis dampak batch.</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MR-02</w:t>
            </w:r>
          </w:p>
        </w:tc>
        <w:tc>
          <w:tcPr>
            <w:tcW w:type="dxa" w:w="29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Ketidakkonsistenan antar dokumen (kode modul/peran/entitas berbeda-beda).</w:t>
            </w:r>
          </w:p>
        </w:tc>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7"/>
                <w:szCs w:val="17"/>
              </w:rPr>
              <w:t xml:space="preserve">Tinggi</w:t>
            </w:r>
          </w:p>
        </w:tc>
        <w:tc>
          <w:tcPr>
            <w:tcW w:type="dxa" w:w="45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Bab 5.3 menetapkan konvensi penomoran kanonik; setiap batch memverifikasi ulang terhadap Master Plan sebelum rilis.</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MR-03</w:t>
            </w:r>
          </w:p>
        </w:tc>
        <w:tc>
          <w:tcPr>
            <w:tcW w:type="dxa" w:w="29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Keterlambatan validasi Process Owner memblokir batch berikutnya.</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7"/>
                <w:szCs w:val="17"/>
              </w:rPr>
              <w:t xml:space="preserve">Sedang</w:t>
            </w:r>
          </w:p>
        </w:tc>
        <w:tc>
          <w:tcPr>
            <w:tcW w:type="dxa" w:w="45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Batch dirancang seminimal mungkin saling memblokir; dokumen dapat berstatus "Draf untuk Validasi" dan tetap dilanjutkan dengan asumsi tercatat.</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MR-04</w:t>
            </w:r>
          </w:p>
        </w:tc>
        <w:tc>
          <w:tcPr>
            <w:tcW w:type="dxa" w:w="29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Spesifikasi terlalu preskriptif sehingga mengunci vendor/teknologi tertentu.</w:t>
            </w:r>
          </w:p>
        </w:tc>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7"/>
                <w:szCs w:val="17"/>
              </w:rPr>
              <w:t xml:space="preserve">Sedang</w:t>
            </w:r>
          </w:p>
        </w:tc>
        <w:tc>
          <w:tcPr>
            <w:tcW w:type="dxa" w:w="45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TRS menyatakan kebutuhan dalam bentuk kapabilitas + standar terbuka; pilihan produk disajikan sebagai opsi beserta trade-off.</w:t>
            </w:r>
          </w:p>
        </w:tc>
      </w:tr>
      <w:tr>
        <w:tc>
          <w:tcPr>
            <w:tcW w:type="dxa" w:w="63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MR-05</w:t>
            </w:r>
          </w:p>
        </w:tc>
        <w:tc>
          <w:tcPr>
            <w:tcW w:type="dxa" w:w="297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Kebutuhan AI bertabrakan dengan kerahasiaan data nasabah &amp; data residency.</w:t>
            </w:r>
          </w:p>
        </w:tc>
        <w:tc>
          <w:tcPr>
            <w:tcW w:type="dxa" w:w="903"/>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7"/>
                <w:szCs w:val="17"/>
              </w:rPr>
              <w:t xml:space="preserve">Tinggi</w:t>
            </w:r>
          </w:p>
        </w:tc>
        <w:tc>
          <w:tcPr>
            <w:tcW w:type="dxa" w:w="4512"/>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DOK-28 mensyaratkan inferensi di dalam yurisdiksi, redaksi PII sebelum prompt, dan larangan pelatihan ulang model atas data nasabah.</w:t>
            </w:r>
          </w:p>
        </w:tc>
      </w:tr>
      <w:tr>
        <w:tc>
          <w:tcPr>
            <w:tcW w:type="dxa" w:w="63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bCs/>
                <w:color w:val="20293A"/>
                <w:sz w:val="17"/>
                <w:szCs w:val="17"/>
              </w:rPr>
              <w:t xml:space="preserve">MR-06</w:t>
            </w:r>
          </w:p>
        </w:tc>
        <w:tc>
          <w:tcPr>
            <w:tcW w:type="dxa" w:w="297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Ekspektasi bahwa dokumen setara dengan sistem jadi.</w:t>
            </w:r>
          </w:p>
        </w:tc>
        <w:tc>
          <w:tcPr>
            <w:tcW w:type="dxa" w:w="903"/>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center"/>
            </w:pPr>
            <w:r>
              <w:rPr>
                <w:rFonts w:ascii="Calibri" w:cs="Calibri" w:eastAsia="Calibri" w:hAnsi="Calibri"/>
                <w:b w:val="false"/>
                <w:bCs w:val="false"/>
                <w:color w:val="C0392B"/>
                <w:sz w:val="17"/>
                <w:szCs w:val="17"/>
              </w:rPr>
              <w:t xml:space="preserve">Sedang</w:t>
            </w:r>
          </w:p>
        </w:tc>
        <w:tc>
          <w:tcPr>
            <w:tcW w:type="dxa" w:w="4512"/>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7"/>
                <w:szCs w:val="17"/>
              </w:rPr>
              <w:t xml:space="preserve">Master Plan menegaskan: keluaran adalah paket rekayasa (engineering package), bukan perangkat lunak siap produksi. Estimasi build ada di DOK-40.</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8.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6"/>
        <w:gridCol w:w="7040"/>
      </w:tblGrid>
      <w:tr>
        <w:trPr>
          <w:tblHeader/>
        </w:trPr>
        <w:tc>
          <w:tcPr>
            <w:tcW w:type="dxa" w:w="1986"/>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Istilah</w:t>
            </w:r>
          </w:p>
        </w:tc>
        <w:tc>
          <w:tcPr>
            <w:tcW w:type="dxa" w:w="7040"/>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Definisi</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ICOFR</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Internal Control over Financial Reporting — pengendalian internal atas pelaporan keuangan.</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UKK</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Unit Kerja Khusus yang bertanggung jawab atas pencegahan kecurangan/manipulasi informasi &amp; laporan keuangan (Pasal 5 POJK 15/2024).</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BPM</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Business Process Mapping — dokumentasi alur proses signifikan.</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RCM</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Risk Control Matrix — matriks risiko dan pengendalian beserta atributnya.</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ELC / PLC / ITGC / ITAC</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Entity Level Control / Process Level Control / IT General Control / IT Application Control.</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CSA</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Control Self-Assessment — penilaian mandiri pengendalian oleh Lini Pertama.</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ToD / ToE</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Test of Design / Test of Operating Effectiveness — pengujian rancangan dan efektivitas operasi pengendalian.</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CD / SD / MW</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Control Deficiency / Significant Deficiency / Material Weakness — klasifikasi defisiensi.</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DoD (Degree of Deficiency)</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Kuantifikasi dampak defisiensi terhadap potensi salah saji.</w:t>
            </w:r>
          </w:p>
        </w:tc>
      </w:tr>
      <w:tr>
        <w:tc>
          <w:tcPr>
            <w:tcW w:type="dxa" w:w="1986"/>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CAPA</w:t>
            </w:r>
          </w:p>
        </w:tc>
        <w:tc>
          <w:tcPr>
            <w:tcW w:type="dxa" w:w="7040"/>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Corrective and Preventive Action — rencana tindakan korektif dan preventif.</w:t>
            </w:r>
          </w:p>
        </w:tc>
      </w:tr>
      <w:tr>
        <w:tc>
          <w:tcPr>
            <w:tcW w:type="dxa" w:w="1986"/>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bCs/>
                <w:color w:val="20293A"/>
                <w:sz w:val="18"/>
                <w:szCs w:val="18"/>
              </w:rPr>
              <w:t xml:space="preserve">Baseline</w:t>
            </w:r>
          </w:p>
        </w:tc>
        <w:tc>
          <w:tcPr>
            <w:tcW w:type="dxa" w:w="7040"/>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b w:val="false"/>
                <w:bCs w:val="false"/>
                <w:color w:val="20293A"/>
                <w:sz w:val="18"/>
                <w:szCs w:val="18"/>
              </w:rPr>
              <w:t xml:space="preserve">Versi dokumen yang telah disetujui dan hanya dapat berubah melalui Change Request.</w:t>
            </w:r>
          </w:p>
        </w:tc>
      </w:tr>
    </w:tbl>
    <w:p>
      <w:pPr>
        <w:pStyle w:val="Heading1"/>
        <w:pageBreakBefore/>
        <w:pBdr>
          <w:bottom w:val="single" w:color="C0891F" w:sz="12" w:space="6"/>
        </w:pBdr>
        <w:spacing w:after="200" w:before="0"/>
      </w:pPr>
      <w:r>
        <w:rPr>
          <w:rFonts w:ascii="Cambria" w:cs="Cambria" w:eastAsia="Cambria" w:hAnsi="Cambria"/>
          <w:b/>
          <w:bCs/>
          <w:color w:val="13366B"/>
          <w:sz w:val="30"/>
          <w:szCs w:val="30"/>
        </w:rPr>
        <w:t xml:space="preserve">LEMBAR PERSETUJUAN</w:t>
      </w:r>
    </w:p>
    <w:p>
      <w:pPr>
        <w:spacing w:after="120" w:line="276"/>
        <w:jc w:val="both"/>
      </w:pPr>
      <w:r>
        <w:rPr>
          <w:rFonts w:ascii="Calibri" w:cs="Calibri" w:eastAsia="Calibri" w:hAnsi="Calibri"/>
          <w:color w:val="20293A"/>
          <w:sz w:val="21"/>
          <w:szCs w:val="21"/>
        </w:rPr>
        <w:t xml:space="preserve">Dengan menandatangani lembar ini, para pihak menyatakan menyetujui ruang lingkup, katalog deliverable, rencana batch, dan standar mutu sebagaimana diuraikan dalam dokumen ini sebagai dasar produksi seluruh deliverable ICOP GRC Platform.</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9"/>
        <w:gridCol w:w="2708"/>
        <w:gridCol w:w="3249"/>
      </w:tblGrid>
      <w:tr>
        <w:trPr>
          <w:tblHeader/>
        </w:trPr>
        <w:tc>
          <w:tcPr>
            <w:tcW w:type="dxa" w:w="306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Peran</w:t>
            </w:r>
          </w:p>
        </w:tc>
        <w:tc>
          <w:tcPr>
            <w:tcW w:type="dxa" w:w="2708"/>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Nama</w:t>
            </w:r>
          </w:p>
        </w:tc>
        <w:tc>
          <w:tcPr>
            <w:tcW w:type="dxa" w:w="3249"/>
            <w:tcBorders>
              <w:top w:val="single" w:color="D3DCEA" w:sz="2"/>
              <w:left w:val="single" w:color="D3DCEA" w:sz="2"/>
              <w:bottom w:val="single" w:color="C0891F" w:sz="8"/>
              <w:right w:val="single" w:color="D3DCEA" w:sz="2"/>
            </w:tcBorders>
            <w:shd w:fill="13366B" w:color="auto" w:val="clear"/>
            <w:tcMar>
              <w:top w:type="dxa" w:w="60"/>
              <w:left w:type="dxa" w:w="90"/>
              <w:bottom w:type="dxa" w:w="60"/>
              <w:right w:type="dxa" w:w="90"/>
            </w:tcMar>
            <w:vAlign w:val="center"/>
          </w:tcPr>
          <w:p>
            <w:pPr>
              <w:spacing w:after="40" w:before="40" w:line="252"/>
              <w:jc w:val="left"/>
            </w:pPr>
            <w:r>
              <w:rPr>
                <w:rFonts w:ascii="Calibri" w:cs="Calibri" w:eastAsia="Calibri" w:hAnsi="Calibri"/>
                <w:b/>
                <w:bCs/>
                <w:color w:val="FFFFFF"/>
                <w:sz w:val="18"/>
                <w:szCs w:val="18"/>
              </w:rPr>
              <w:t xml:space="preserve">Tanda Tangan &amp; Tanggal</w:t>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Disusun oleh</w:t>
            </w:r>
          </w:p>
          <w:p>
            <w:pPr>
              <w:spacing w:after="40" w:before="20" w:line="252"/>
              <w:jc w:val="left"/>
            </w:pPr>
            <w:r>
              <w:rPr>
                <w:rFonts w:ascii="Calibri" w:cs="Calibri" w:eastAsia="Calibri" w:hAnsi="Calibri"/>
                <w:color w:val="20293A"/>
                <w:sz w:val="18"/>
                <w:szCs w:val="18"/>
              </w:rPr>
              <w:t xml:space="preserve">Konsultan — The Millennials Institute</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Product Owner / UKK ICOFR</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Kepala Divisi Teknologi Informasi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Direviu oleh</w:t>
            </w:r>
          </w:p>
          <w:p>
            <w:pPr>
              <w:spacing w:after="40" w:before="20" w:line="252"/>
              <w:jc w:val="left"/>
            </w:pPr>
            <w:r>
              <w:rPr>
                <w:rFonts w:ascii="Calibri" w:cs="Calibri" w:eastAsia="Calibri" w:hAnsi="Calibri"/>
                <w:color w:val="20293A"/>
                <w:sz w:val="18"/>
                <w:szCs w:val="18"/>
              </w:rPr>
              <w:t xml:space="preserve">Manajemen Risiko &amp; Kepatuhan</w:t>
            </w:r>
          </w:p>
        </w:tc>
        <w:tc>
          <w:tcPr>
            <w:tcW w:type="dxa" w:w="2708"/>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2F5FA"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r>
        <w:tc>
          <w:tcPr>
            <w:tcW w:type="dxa" w:w="306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Disetujui oleh</w:t>
            </w:r>
          </w:p>
          <w:p>
            <w:pPr>
              <w:spacing w:after="40" w:before="20" w:line="252"/>
              <w:jc w:val="left"/>
            </w:pPr>
            <w:r>
              <w:rPr>
                <w:rFonts w:ascii="Calibri" w:cs="Calibri" w:eastAsia="Calibri" w:hAnsi="Calibri"/>
                <w:color w:val="20293A"/>
                <w:sz w:val="18"/>
                <w:szCs w:val="18"/>
              </w:rPr>
              <w:t xml:space="preserve">Sponsor Program (Direksi)</w:t>
            </w:r>
          </w:p>
        </w:tc>
        <w:tc>
          <w:tcPr>
            <w:tcW w:type="dxa" w:w="2708"/>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c>
          <w:tcPr>
            <w:tcW w:type="dxa" w:w="3249"/>
            <w:tcBorders>
              <w:top w:val="single" w:color="D3DCEA" w:sz="2"/>
              <w:left w:val="single" w:color="D3DCEA" w:sz="2"/>
              <w:bottom w:val="single" w:color="D3DCEA" w:sz="2"/>
              <w:right w:val="single" w:color="D3DCEA" w:sz="2"/>
            </w:tcBorders>
            <w:shd w:fill="FFFFFF" w:color="auto" w:val="clear"/>
            <w:tcMar>
              <w:top w:type="dxa" w:w="50"/>
              <w:left w:type="dxa" w:w="90"/>
              <w:bottom w:type="dxa" w:w="50"/>
              <w:right w:type="dxa" w:w="90"/>
            </w:tcMar>
            <w:vAlign w:val="top"/>
          </w:tcPr>
          <w:p>
            <w:pPr>
              <w:spacing w:after="40" w:before="40" w:line="252"/>
              <w:jc w:val="left"/>
            </w:pPr>
            <w:r>
              <w:rPr>
                <w:rFonts w:ascii="Calibri" w:cs="Calibri" w:eastAsia="Calibri" w:hAnsi="Calibri"/>
                <w:color w:val="20293A"/>
                <w:sz w:val="18"/>
                <w:szCs w:val="18"/>
              </w:rPr>
              <w:t xml:space="preserve"/>
            </w:r>
          </w:p>
        </w:tc>
      </w:tr>
    </w:tbl>
    <w:p>
      <w:pPr>
        <w:spacing w:after="200"/>
      </w:pPr>
    </w:p>
    <w:p>
      <w:pPr>
        <w:spacing w:after="120" w:line="276"/>
        <w:jc w:val="center"/>
      </w:pPr>
      <w:r>
        <w:rPr>
          <w:rFonts w:ascii="Calibri" w:cs="Calibri" w:eastAsia="Calibri" w:hAnsi="Calibri"/>
          <w:i/>
          <w:iCs/>
          <w:color w:val="5C6B7E"/>
          <w:sz w:val="21"/>
          <w:szCs w:val="21"/>
        </w:rPr>
        <w:t xml:space="preserve">— Akhir Dokumen DOK-00 —</w:t>
      </w:r>
    </w:p>
    <w:sectPr>
      <w:headerReference w:type="default" r:id="rId7"/>
      <w:footerReference w:type="default" r:id="rId8"/>
      <w:pgSz w:w="11906" w:h="16838" w:orient="portrait"/>
      <w:pgMar w:top="1440" w:right="1440" w:bottom="1440" w:left="1440" w:header="7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CEA" w:sz="6" w:space="4"/>
      </w:pBdr>
      <w:tabs>
        <w:tab w:val="right" w:pos="9026"/>
      </w:tabs>
      <w:spacing w:before="40"/>
    </w:pPr>
    <w:r>
      <w:rPr>
        <w:rFonts w:ascii="Calibri" w:cs="Calibri" w:eastAsia="Calibri" w:hAnsi="Calibri"/>
        <w:color w:val="5C6B7E"/>
        <w:sz w:val="15"/>
        <w:szCs w:val="15"/>
      </w:rPr>
      <w:t xml:space="preserve">DOK-00 · Master Plan · v1.0 · The Millennials Institute</w:t>
    </w:r>
    <w:r>
      <w:tab/>
    </w:r>
    <w:r>
      <w:rPr>
        <w:rFonts w:ascii="Calibri" w:cs="Calibri" w:eastAsia="Calibri" w:hAnsi="Calibri"/>
        <w:color w:val="5C6B7E"/>
        <w:sz w:val="15"/>
        <w:szCs w:val="15"/>
      </w:rPr>
      <w:t xml:space="preserve">Hal. </w:t>
    </w:r>
    <w:r>
      <w:rPr>
        <w:rFonts w:ascii="Calibri" w:cs="Calibri" w:eastAsia="Calibri" w:hAnsi="Calibri"/>
        <w:b/>
        <w:bCs/>
        <w:color w:val="13366B"/>
        <w:sz w:val="15"/>
        <w:szCs w:val="15"/>
      </w:rPr>
      <w:fldChar w:fldCharType="begin"/>
      <w:instrText xml:space="preserve">PAGE</w:instrText>
      <w:fldChar w:fldCharType="separate"/>
      <w:fldChar w:fldCharType="end"/>
    </w:r>
    <w:r>
      <w:rPr>
        <w:rFonts w:ascii="Calibri" w:cs="Calibri" w:eastAsia="Calibri" w:hAnsi="Calibri"/>
        <w:color w:val="5C6B7E"/>
        <w:sz w:val="15"/>
        <w:szCs w:val="15"/>
      </w:rPr>
      <w:t xml:space="preserve"> / </w:t>
    </w:r>
    <w:r>
      <w:rPr>
        <w:rFonts w:ascii="Calibri" w:cs="Calibri" w:eastAsia="Calibri" w:hAnsi="Calibri"/>
        <w:color w:val="5C6B7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CEA" w:sz="6" w:space="4"/>
      </w:pBdr>
      <w:tabs>
        <w:tab w:val="right" w:pos="9026"/>
      </w:tabs>
      <w:spacing w:after="40"/>
    </w:pPr>
    <w:r>
      <w:rPr>
        <w:rFonts w:ascii="Calibri" w:cs="Calibri" w:eastAsia="Calibri" w:hAnsi="Calibri"/>
        <w:b/>
        <w:bCs/>
        <w:color w:val="13366B"/>
        <w:spacing w:val="20"/>
        <w:sz w:val="16"/>
        <w:szCs w:val="16"/>
      </w:rPr>
      <w:t xml:space="preserve">ICOP GRC PLATFORM</w:t>
    </w:r>
    <w:r>
      <w:tab/>
    </w:r>
    <w:r>
      <w:rPr>
        <w:rFonts w:ascii="Calibri" w:cs="Calibri" w:eastAsia="Calibri" w:hAnsi="Calibri"/>
        <w:color w:val="9C6C11"/>
        <w:sz w:val="16"/>
        <w:szCs w:val="16"/>
      </w:rPr>
      <w:t xml:space="preserve">RAHASIA &amp; TERBATAS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891F"/>
        <w:sz w:val="21"/>
        <w:szCs w:val="21"/>
      </w:rPr>
    </w:lvl>
    <w:lvl w:ilvl="1" w15:tentative="1">
      <w:start w:val="1"/>
      <w:numFmt w:val="bullet"/>
      <w:lvlText w:val="–"/>
      <w:lvlJc w:val="left"/>
      <w:pPr>
        <w:ind w:left="720" w:hanging="220"/>
      </w:pPr>
      <w:rPr>
        <w:color w:val="5C6B7E"/>
        <w:sz w:val="21"/>
        <w:szCs w:val="21"/>
      </w:rPr>
    </w:lvl>
  </w:abstractNum>
  <w:abstractNum w:abstractNumId="3" w15:restartNumberingAfterBreak="0">
    <w:multiLevelType w:val="hybridMultilevel"/>
    <w:lvl w:ilvl="0" w15:tentative="1">
      <w:start w:val="1"/>
      <w:numFmt w:val="decimal"/>
      <w:lvlText w:val="%1."/>
      <w:lvlJc w:val="left"/>
      <w:pPr>
        <w:ind w:left="400" w:hanging="260"/>
      </w:pPr>
      <w:rPr>
        <w:b/>
        <w:bCs/>
        <w:color w:val="13366B"/>
        <w:sz w:val="21"/>
        <w:szCs w:val="21"/>
      </w:rPr>
    </w:lvl>
    <w:lvl w:ilvl="1" w15:tentative="1">
      <w:start w:val="1"/>
      <w:numFmt w:val="lowerLetter"/>
      <w:lvlText w:val="%2."/>
      <w:lvlJc w:val="left"/>
      <w:pPr>
        <w:ind w:left="760" w:hanging="260"/>
      </w:pPr>
      <w:rPr>
        <w:color w:val="1B4A8A"/>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3366B"/>
      <w:sz w:val="30"/>
      <w:szCs w:val="30"/>
    </w:rPr>
  </w:style>
  <w:style w:type="paragraph" w:styleId="Heading2">
    <w:name w:val="Heading 2"/>
    <w:basedOn w:val="Normal"/>
    <w:next w:val="Normal"/>
    <w:qFormat/>
    <w:rPr>
      <w:rFonts w:ascii="Cambria" w:cs="Cambria" w:eastAsia="Cambria" w:hAnsi="Cambria"/>
      <w:b/>
      <w:bCs/>
      <w:color w:val="1B4A8A"/>
      <w:sz w:val="24"/>
      <w:szCs w:val="24"/>
    </w:rPr>
  </w:style>
  <w:style w:type="paragraph" w:styleId="Heading3">
    <w:name w:val="Heading 3"/>
    <w:basedOn w:val="Normal"/>
    <w:next w:val="Normal"/>
    <w:qFormat/>
    <w:rPr>
      <w:rFonts w:ascii="Calibri" w:cs="Calibri" w:eastAsia="Calibri" w:hAnsi="Calibri"/>
      <w:b/>
      <w:bCs/>
      <w:color w:val="1E5A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DOK-00 · Master Plan · v1.0 · The Millennials Institute</dc:title>
  <dc:creator>The Millennials Institute</dc:creator>
  <cp:lastModifiedBy>Un-named</cp:lastModifiedBy>
  <cp:revision>1</cp:revision>
  <dcterms:created xsi:type="dcterms:W3CDTF">2026-07-11T23:56:19.709Z</dcterms:created>
  <dcterms:modified xsi:type="dcterms:W3CDTF">2026-07-11T23:56:19.709Z</dcterms:modified>
</cp:coreProperties>
</file>

<file path=docProps/custom.xml><?xml version="1.0" encoding="utf-8"?>
<Properties xmlns="http://schemas.openxmlformats.org/officeDocument/2006/custom-properties" xmlns:vt="http://schemas.openxmlformats.org/officeDocument/2006/docPropsVTypes"/>
</file>