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pPr>
      <w:r>
        <w:rPr>
          <w:rFonts w:ascii="Calibri" w:cs="Calibri" w:eastAsia="Calibri" w:hAnsi="Calibri"/>
          <w:b/>
          <w:bCs/>
          <w:color w:val="9C6C11"/>
          <w:spacing w:val="40"/>
          <w:sz w:val="20"/>
          <w:szCs w:val="20"/>
        </w:rPr>
        <w:t xml:space="preserve">THE MILLENNIALS INSTITUTE</w:t>
      </w:r>
    </w:p>
    <w:p>
      <w:pPr>
        <w:pBdr>
          <w:bottom w:val="single" w:color="C0891F" w:sz="12" w:space="8"/>
        </w:pBdr>
        <w:spacing w:after="700"/>
      </w:pPr>
      <w:r>
        <w:rPr>
          <w:rFonts w:ascii="Cambria" w:cs="Cambria" w:eastAsia="Cambria" w:hAnsi="Cambria"/>
          <w:i/>
          <w:iCs/>
          <w:color w:val="5C6B7E"/>
          <w:sz w:val="19"/>
          <w:szCs w:val="19"/>
        </w:rPr>
        <w:t xml:space="preserve">Developing Human For Better Futures</w:t>
      </w:r>
    </w:p>
    <w:p>
      <w:pPr>
        <w:spacing w:after="100"/>
      </w:pPr>
      <w:r>
        <w:rPr>
          <w:rFonts w:ascii="Calibri" w:cs="Calibri" w:eastAsia="Calibri" w:hAnsi="Calibri"/>
          <w:b/>
          <w:bCs/>
          <w:color w:val="9C6C11"/>
          <w:spacing w:val="30"/>
          <w:sz w:val="20"/>
          <w:szCs w:val="20"/>
        </w:rPr>
        <w:t xml:space="preserve">DOK-01</w:t>
      </w:r>
    </w:p>
    <w:p>
      <w:pPr>
        <w:spacing w:after="100"/>
        <w:jc w:val="left"/>
      </w:pPr>
      <w:r>
        <w:rPr>
          <w:rFonts w:ascii="Cambria" w:cs="Cambria" w:eastAsia="Cambria" w:hAnsi="Cambria"/>
          <w:b/>
          <w:bCs/>
          <w:color w:val="13366B"/>
          <w:sz w:val="44"/>
          <w:szCs w:val="44"/>
        </w:rPr>
        <w:t xml:space="preserve">BUSINESS REQUIREMENT</w:t>
      </w:r>
    </w:p>
    <w:p>
      <w:pPr>
        <w:spacing w:after="500"/>
      </w:pPr>
      <w:r>
        <w:rPr>
          <w:rFonts w:ascii="Cambria" w:cs="Cambria" w:eastAsia="Cambria" w:hAnsi="Cambria"/>
          <w:color w:val="5C6B7E"/>
          <w:sz w:val="24"/>
          <w:szCs w:val="24"/>
        </w:rPr>
        <w:t xml:space="preserve">Document (BRD) — Kebutuhan Bisnis Platform GRC Terpadu</w:t>
      </w:r>
    </w:p>
    <w:p>
      <w:pPr>
        <w:spacing w:after="60"/>
      </w:pPr>
      <w:r>
        <w:rPr>
          <w:rFonts w:ascii="Cambria" w:cs="Cambria" w:eastAsia="Cambria" w:hAnsi="Cambria"/>
          <w:b/>
          <w:bCs/>
          <w:color w:val="1E5AA8"/>
          <w:sz w:val="32"/>
          <w:szCs w:val="32"/>
        </w:rPr>
        <w:t xml:space="preserve">ICOP GRC PLATFORM</w:t>
      </w:r>
    </w:p>
    <w:p>
      <w:pPr>
        <w:spacing w:after="900"/>
      </w:pPr>
      <w:r>
        <w:rPr>
          <w:rFonts w:ascii="Calibri" w:cs="Calibri" w:eastAsia="Calibri" w:hAnsi="Calibri"/>
          <w:i/>
          <w:iCs/>
          <w:color w:val="5C6B7E"/>
          <w:sz w:val="19"/>
          <w:szCs w:val="19"/>
        </w:rPr>
        <w:t xml:space="preserve">Integrated Governance, Risk, Audit &amp; Compliance Platform  ·  Modul Utama: ICOFR Management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6499"/>
      </w:tblGrid>
      <w:tr>
        <w:tc>
          <w:tcPr>
            <w:tcW w:type="dxa" w:w="252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Kode Dokumen</w:t>
            </w:r>
          </w:p>
        </w:tc>
        <w:tc>
          <w:tcPr>
            <w:tcW w:type="dxa" w:w="649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DOK-01</w:t>
            </w:r>
          </w:p>
        </w:tc>
      </w:tr>
      <w:tr>
        <w:tc>
          <w:tcPr>
            <w:tcW w:type="dxa" w:w="252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Versi / Status</w:t>
            </w:r>
          </w:p>
        </w:tc>
        <w:tc>
          <w:tcPr>
            <w:tcW w:type="dxa" w:w="649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1.0 / Baseline</w:t>
            </w:r>
          </w:p>
        </w:tc>
      </w:tr>
      <w:tr>
        <w:tc>
          <w:tcPr>
            <w:tcW w:type="dxa" w:w="252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Tanggal</w:t>
            </w:r>
          </w:p>
        </w:tc>
        <w:tc>
          <w:tcPr>
            <w:tcW w:type="dxa" w:w="649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12 Juli 2026</w:t>
            </w:r>
          </w:p>
        </w:tc>
      </w:tr>
      <w:tr>
        <w:tc>
          <w:tcPr>
            <w:tcW w:type="dxa" w:w="252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Disusun oleh</w:t>
            </w:r>
          </w:p>
        </w:tc>
        <w:tc>
          <w:tcPr>
            <w:tcW w:type="dxa" w:w="649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The Millennials Institute — Tim Arsitektur &amp; Solusi GRC</w:t>
            </w:r>
          </w:p>
        </w:tc>
      </w:tr>
      <w:tr>
        <w:tc>
          <w:tcPr>
            <w:tcW w:type="dxa" w:w="252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Klasifikasi</w:t>
            </w:r>
          </w:p>
        </w:tc>
        <w:tc>
          <w:tcPr>
            <w:tcW w:type="dxa" w:w="649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RAHASIA &amp; TERBATAS — Internal Use Only</w:t>
            </w:r>
          </w:p>
        </w:tc>
      </w:tr>
    </w:tbl>
    <w:p>
      <w:pPr>
        <w:spacing w:before="700"/>
        <w:jc w:val="center"/>
      </w:pPr>
      <w:r>
        <w:rPr>
          <w:rFonts w:ascii="Calibri" w:cs="Calibri" w:eastAsia="Calibri" w:hAnsi="Calibri"/>
          <w:i/>
          <w:iCs/>
          <w:color w:val="5C6B7E"/>
          <w:sz w:val="16"/>
          <w:szCs w:val="16"/>
        </w:rPr>
        <w:t xml:space="preserve">Dokumen ini bersifat rahasia. Dilarang menggandakan, mendistribusikan, atau mengungkapkan isinya kepada pihak ketiga tanpa persetujuan tertulis.</w:t>
      </w:r>
    </w:p>
    <w:p>
      <w:r>
        <w:br w:type="page"/>
      </w:r>
    </w:p>
    <w:p>
      <w:pPr>
        <w:pStyle w:val="Heading1"/>
        <w:pBdr>
          <w:bottom w:val="single" w:color="C0891F" w:sz="12" w:space="6"/>
        </w:pBdr>
        <w:spacing w:after="200" w:before="0"/>
      </w:pPr>
      <w:r>
        <w:rPr>
          <w:rFonts w:ascii="Cambria" w:cs="Cambria" w:eastAsia="Cambria" w:hAnsi="Cambria"/>
          <w:b/>
          <w:bCs/>
          <w:color w:val="13366B"/>
          <w:sz w:val="30"/>
          <w:szCs w:val="30"/>
        </w:rPr>
        <w:t xml:space="preserve">DAFTAR ISI</w:t>
      </w:r>
    </w:p>
    <w:p>
      <w:pPr>
        <w:tabs>
          <w:tab w:val="right" w:pos="9026" w:leader="dot"/>
        </w:tabs>
        <w:spacing w:after="60" w:line="264"/>
        <w:ind w:left="0"/>
      </w:pPr>
      <w:r>
        <w:rPr>
          <w:rFonts w:ascii="Calibri" w:cs="Calibri" w:eastAsia="Calibri" w:hAnsi="Calibri"/>
          <w:b/>
          <w:bCs/>
          <w:color w:val="13366B"/>
          <w:sz w:val="20"/>
          <w:szCs w:val="20"/>
        </w:rPr>
        <w:t xml:space="preserve">KENDALI DOKUMEN</w:t>
      </w:r>
      <w:r>
        <w:rPr>
          <w:rFonts w:ascii="Calibri" w:cs="Calibri" w:eastAsia="Calibri" w:hAnsi="Calibri"/>
          <w:color w:val="D3DCEA"/>
          <w:sz w:val="19"/>
          <w:szCs w:val="19"/>
        </w:rPr>
        <w:tab/>
      </w:r>
      <w:r>
        <w:rPr>
          <w:rFonts w:ascii="Calibri" w:cs="Calibri" w:eastAsia="Calibri" w:hAnsi="Calibri"/>
          <w:b/>
          <w:bCs/>
          <w:color w:val="13366B"/>
          <w:sz w:val="19"/>
          <w:szCs w:val="19"/>
        </w:rPr>
        <w:t xml:space="preserve">3</w:t>
      </w:r>
    </w:p>
    <w:p>
      <w:pPr>
        <w:tabs>
          <w:tab w:val="right" w:pos="9026" w:leader="dot"/>
        </w:tabs>
        <w:spacing w:after="60" w:line="264"/>
        <w:ind w:left="0"/>
      </w:pPr>
      <w:r>
        <w:rPr>
          <w:rFonts w:ascii="Calibri" w:cs="Calibri" w:eastAsia="Calibri" w:hAnsi="Calibri"/>
          <w:b/>
          <w:bCs/>
          <w:color w:val="13366B"/>
          <w:sz w:val="20"/>
          <w:szCs w:val="20"/>
        </w:rPr>
        <w:t xml:space="preserve">1. RINGKASAN EKSEKUTIF</w:t>
      </w:r>
      <w:r>
        <w:rPr>
          <w:rFonts w:ascii="Calibri" w:cs="Calibri" w:eastAsia="Calibri" w:hAnsi="Calibri"/>
          <w:color w:val="D3DCEA"/>
          <w:sz w:val="19"/>
          <w:szCs w:val="19"/>
        </w:rPr>
        <w:tab/>
      </w:r>
      <w:r>
        <w:rPr>
          <w:rFonts w:ascii="Calibri" w:cs="Calibri" w:eastAsia="Calibri" w:hAnsi="Calibri"/>
          <w:b/>
          <w:bCs/>
          <w:color w:val="13366B"/>
          <w:sz w:val="19"/>
          <w:szCs w:val="19"/>
        </w:rPr>
        <w:t xml:space="preserve">4</w:t>
      </w:r>
    </w:p>
    <w:p>
      <w:pPr>
        <w:tabs>
          <w:tab w:val="right" w:pos="9026" w:leader="dot"/>
        </w:tabs>
        <w:spacing w:after="60" w:line="264"/>
        <w:ind w:left="0"/>
      </w:pPr>
      <w:r>
        <w:rPr>
          <w:rFonts w:ascii="Calibri" w:cs="Calibri" w:eastAsia="Calibri" w:hAnsi="Calibri"/>
          <w:b/>
          <w:bCs/>
          <w:color w:val="13366B"/>
          <w:sz w:val="20"/>
          <w:szCs w:val="20"/>
        </w:rPr>
        <w:t xml:space="preserve">2. LATAR BELAKANG BISNIS &amp; REGULASI</w:t>
      </w:r>
      <w:r>
        <w:rPr>
          <w:rFonts w:ascii="Calibri" w:cs="Calibri" w:eastAsia="Calibri" w:hAnsi="Calibri"/>
          <w:color w:val="D3DCEA"/>
          <w:sz w:val="19"/>
          <w:szCs w:val="19"/>
        </w:rPr>
        <w:tab/>
      </w:r>
      <w:r>
        <w:rPr>
          <w:rFonts w:ascii="Calibri" w:cs="Calibri" w:eastAsia="Calibri" w:hAnsi="Calibri"/>
          <w:b/>
          <w:bCs/>
          <w:color w:val="13366B"/>
          <w:sz w:val="19"/>
          <w:szCs w:val="19"/>
        </w:rPr>
        <w:t xml:space="preserve">5</w:t>
      </w:r>
    </w:p>
    <w:p>
      <w:pPr>
        <w:tabs>
          <w:tab w:val="right" w:pos="9026" w:leader="dot"/>
        </w:tabs>
        <w:spacing w:after="30" w:line="264"/>
        <w:ind w:left="340"/>
      </w:pPr>
      <w:r>
        <w:rPr>
          <w:rFonts w:ascii="Calibri" w:cs="Calibri" w:eastAsia="Calibri" w:hAnsi="Calibri"/>
          <w:b w:val="false"/>
          <w:bCs w:val="false"/>
          <w:color w:val="20293A"/>
          <w:sz w:val="19"/>
          <w:szCs w:val="19"/>
        </w:rPr>
        <w:t xml:space="preserve">2.1 Mandat POJK No. 15 Tahun 2024</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5</w:t>
      </w:r>
    </w:p>
    <w:p>
      <w:pPr>
        <w:tabs>
          <w:tab w:val="right" w:pos="9026" w:leader="dot"/>
        </w:tabs>
        <w:spacing w:after="30" w:line="264"/>
        <w:ind w:left="340"/>
      </w:pPr>
      <w:r>
        <w:rPr>
          <w:rFonts w:ascii="Calibri" w:cs="Calibri" w:eastAsia="Calibri" w:hAnsi="Calibri"/>
          <w:b w:val="false"/>
          <w:bCs w:val="false"/>
          <w:color w:val="20293A"/>
          <w:sz w:val="19"/>
          <w:szCs w:val="19"/>
        </w:rPr>
        <w:t xml:space="preserve">2.2 Kerangka Pengendalian yang Dirujuk</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5</w:t>
      </w:r>
    </w:p>
    <w:p>
      <w:pPr>
        <w:tabs>
          <w:tab w:val="right" w:pos="9026" w:leader="dot"/>
        </w:tabs>
        <w:spacing w:after="30" w:line="264"/>
        <w:ind w:left="340"/>
      </w:pPr>
      <w:r>
        <w:rPr>
          <w:rFonts w:ascii="Calibri" w:cs="Calibri" w:eastAsia="Calibri" w:hAnsi="Calibri"/>
          <w:b w:val="false"/>
          <w:bCs w:val="false"/>
          <w:color w:val="20293A"/>
          <w:sz w:val="19"/>
          <w:szCs w:val="19"/>
        </w:rPr>
        <w:t xml:space="preserve">2.3 Model Tiga Lini Pertahanan</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6</w:t>
      </w:r>
    </w:p>
    <w:p>
      <w:pPr>
        <w:tabs>
          <w:tab w:val="right" w:pos="9026" w:leader="dot"/>
        </w:tabs>
        <w:spacing w:after="60" w:line="264"/>
        <w:ind w:left="0"/>
      </w:pPr>
      <w:r>
        <w:rPr>
          <w:rFonts w:ascii="Calibri" w:cs="Calibri" w:eastAsia="Calibri" w:hAnsi="Calibri"/>
          <w:b/>
          <w:bCs/>
          <w:color w:val="13366B"/>
          <w:sz w:val="20"/>
          <w:szCs w:val="20"/>
        </w:rPr>
        <w:t xml:space="preserve">3. ANALISIS KONDISI SAAT INI</w:t>
      </w:r>
      <w:r>
        <w:rPr>
          <w:rFonts w:ascii="Calibri" w:cs="Calibri" w:eastAsia="Calibri" w:hAnsi="Calibri"/>
          <w:color w:val="D3DCEA"/>
          <w:sz w:val="19"/>
          <w:szCs w:val="19"/>
        </w:rPr>
        <w:tab/>
      </w:r>
      <w:r>
        <w:rPr>
          <w:rFonts w:ascii="Calibri" w:cs="Calibri" w:eastAsia="Calibri" w:hAnsi="Calibri"/>
          <w:b/>
          <w:bCs/>
          <w:color w:val="13366B"/>
          <w:sz w:val="19"/>
          <w:szCs w:val="19"/>
        </w:rPr>
        <w:t xml:space="preserve">7</w:t>
      </w:r>
    </w:p>
    <w:p>
      <w:pPr>
        <w:tabs>
          <w:tab w:val="right" w:pos="9026" w:leader="dot"/>
        </w:tabs>
        <w:spacing w:after="30" w:line="264"/>
        <w:ind w:left="340"/>
      </w:pPr>
      <w:r>
        <w:rPr>
          <w:rFonts w:ascii="Calibri" w:cs="Calibri" w:eastAsia="Calibri" w:hAnsi="Calibri"/>
          <w:b w:val="false"/>
          <w:bCs w:val="false"/>
          <w:color w:val="20293A"/>
          <w:sz w:val="19"/>
          <w:szCs w:val="19"/>
        </w:rPr>
        <w:t xml:space="preserve">3.1 Cara Kerja Hari Ini</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7</w:t>
      </w:r>
    </w:p>
    <w:p>
      <w:pPr>
        <w:tabs>
          <w:tab w:val="right" w:pos="9026" w:leader="dot"/>
        </w:tabs>
        <w:spacing w:after="30" w:line="264"/>
        <w:ind w:left="340"/>
      </w:pPr>
      <w:r>
        <w:rPr>
          <w:rFonts w:ascii="Calibri" w:cs="Calibri" w:eastAsia="Calibri" w:hAnsi="Calibri"/>
          <w:b w:val="false"/>
          <w:bCs w:val="false"/>
          <w:color w:val="20293A"/>
          <w:sz w:val="19"/>
          <w:szCs w:val="19"/>
        </w:rPr>
        <w:t xml:space="preserve">3.2 Titik Nyeri</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7</w:t>
      </w:r>
    </w:p>
    <w:p>
      <w:pPr>
        <w:tabs>
          <w:tab w:val="right" w:pos="9026" w:leader="dot"/>
        </w:tabs>
        <w:spacing w:after="60" w:line="264"/>
        <w:ind w:left="0"/>
      </w:pPr>
      <w:r>
        <w:rPr>
          <w:rFonts w:ascii="Calibri" w:cs="Calibri" w:eastAsia="Calibri" w:hAnsi="Calibri"/>
          <w:b/>
          <w:bCs/>
          <w:color w:val="13366B"/>
          <w:sz w:val="20"/>
          <w:szCs w:val="20"/>
        </w:rPr>
        <w:t xml:space="preserve">4. TUJUAN &amp; SASARAN BISNIS</w:t>
      </w:r>
      <w:r>
        <w:rPr>
          <w:rFonts w:ascii="Calibri" w:cs="Calibri" w:eastAsia="Calibri" w:hAnsi="Calibri"/>
          <w:color w:val="D3DCEA"/>
          <w:sz w:val="19"/>
          <w:szCs w:val="19"/>
        </w:rPr>
        <w:tab/>
      </w:r>
      <w:r>
        <w:rPr>
          <w:rFonts w:ascii="Calibri" w:cs="Calibri" w:eastAsia="Calibri" w:hAnsi="Calibri"/>
          <w:b/>
          <w:bCs/>
          <w:color w:val="13366B"/>
          <w:sz w:val="19"/>
          <w:szCs w:val="19"/>
        </w:rPr>
        <w:t xml:space="preserve">8</w:t>
      </w:r>
    </w:p>
    <w:p>
      <w:pPr>
        <w:tabs>
          <w:tab w:val="right" w:pos="9026" w:leader="dot"/>
        </w:tabs>
        <w:spacing w:after="60" w:line="264"/>
        <w:ind w:left="0"/>
      </w:pPr>
      <w:r>
        <w:rPr>
          <w:rFonts w:ascii="Calibri" w:cs="Calibri" w:eastAsia="Calibri" w:hAnsi="Calibri"/>
          <w:b/>
          <w:bCs/>
          <w:color w:val="13366B"/>
          <w:sz w:val="20"/>
          <w:szCs w:val="20"/>
        </w:rPr>
        <w:t xml:space="preserve">5. RUANG LINGKUP &amp; FASE RILIS</w:t>
      </w:r>
      <w:r>
        <w:rPr>
          <w:rFonts w:ascii="Calibri" w:cs="Calibri" w:eastAsia="Calibri" w:hAnsi="Calibri"/>
          <w:color w:val="D3DCEA"/>
          <w:sz w:val="19"/>
          <w:szCs w:val="19"/>
        </w:rPr>
        <w:tab/>
      </w:r>
      <w:r>
        <w:rPr>
          <w:rFonts w:ascii="Calibri" w:cs="Calibri" w:eastAsia="Calibri" w:hAnsi="Calibri"/>
          <w:b/>
          <w:bCs/>
          <w:color w:val="13366B"/>
          <w:sz w:val="19"/>
          <w:szCs w:val="19"/>
        </w:rPr>
        <w:t xml:space="preserve">9</w:t>
      </w:r>
    </w:p>
    <w:p>
      <w:pPr>
        <w:tabs>
          <w:tab w:val="right" w:pos="9026" w:leader="dot"/>
        </w:tabs>
        <w:spacing w:after="60" w:line="264"/>
        <w:ind w:left="0"/>
      </w:pPr>
      <w:r>
        <w:rPr>
          <w:rFonts w:ascii="Calibri" w:cs="Calibri" w:eastAsia="Calibri" w:hAnsi="Calibri"/>
          <w:b/>
          <w:bCs/>
          <w:color w:val="13366B"/>
          <w:sz w:val="20"/>
          <w:szCs w:val="20"/>
        </w:rPr>
        <w:t xml:space="preserve">6. PEMANGKU KEPENTINGAN &amp; PERSONA</w:t>
      </w:r>
      <w:r>
        <w:rPr>
          <w:rFonts w:ascii="Calibri" w:cs="Calibri" w:eastAsia="Calibri" w:hAnsi="Calibri"/>
          <w:color w:val="D3DCEA"/>
          <w:sz w:val="19"/>
          <w:szCs w:val="19"/>
        </w:rPr>
        <w:tab/>
      </w:r>
      <w:r>
        <w:rPr>
          <w:rFonts w:ascii="Calibri" w:cs="Calibri" w:eastAsia="Calibri" w:hAnsi="Calibri"/>
          <w:b/>
          <w:bCs/>
          <w:color w:val="13366B"/>
          <w:sz w:val="19"/>
          <w:szCs w:val="19"/>
        </w:rPr>
        <w:t xml:space="preserve">10</w:t>
      </w:r>
    </w:p>
    <w:p>
      <w:pPr>
        <w:tabs>
          <w:tab w:val="right" w:pos="9026" w:leader="dot"/>
        </w:tabs>
        <w:spacing w:after="30" w:line="264"/>
        <w:ind w:left="340"/>
      </w:pPr>
      <w:r>
        <w:rPr>
          <w:rFonts w:ascii="Calibri" w:cs="Calibri" w:eastAsia="Calibri" w:hAnsi="Calibri"/>
          <w:b w:val="false"/>
          <w:bCs w:val="false"/>
          <w:color w:val="20293A"/>
          <w:sz w:val="19"/>
          <w:szCs w:val="19"/>
        </w:rPr>
        <w:t xml:space="preserve">6.1 Persona Pengguna Utama</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10</w:t>
      </w:r>
    </w:p>
    <w:p>
      <w:pPr>
        <w:tabs>
          <w:tab w:val="right" w:pos="9026" w:leader="dot"/>
        </w:tabs>
        <w:spacing w:after="30" w:line="264"/>
        <w:ind w:left="340"/>
      </w:pPr>
      <w:r>
        <w:rPr>
          <w:rFonts w:ascii="Calibri" w:cs="Calibri" w:eastAsia="Calibri" w:hAnsi="Calibri"/>
          <w:b w:val="false"/>
          <w:bCs w:val="false"/>
          <w:color w:val="20293A"/>
          <w:sz w:val="19"/>
          <w:szCs w:val="19"/>
        </w:rPr>
        <w:t xml:space="preserve">6.2 Katalog Peran Sistem</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11</w:t>
      </w:r>
    </w:p>
    <w:p>
      <w:pPr>
        <w:tabs>
          <w:tab w:val="right" w:pos="9026" w:leader="dot"/>
        </w:tabs>
        <w:spacing w:after="60" w:line="264"/>
        <w:ind w:left="0"/>
      </w:pPr>
      <w:r>
        <w:rPr>
          <w:rFonts w:ascii="Calibri" w:cs="Calibri" w:eastAsia="Calibri" w:hAnsi="Calibri"/>
          <w:b/>
          <w:bCs/>
          <w:color w:val="13366B"/>
          <w:sz w:val="20"/>
          <w:szCs w:val="20"/>
        </w:rPr>
        <w:t xml:space="preserve">7. PROSES BISNIS TARGET</w:t>
      </w:r>
      <w:r>
        <w:rPr>
          <w:rFonts w:ascii="Calibri" w:cs="Calibri" w:eastAsia="Calibri" w:hAnsi="Calibri"/>
          <w:color w:val="D3DCEA"/>
          <w:sz w:val="19"/>
          <w:szCs w:val="19"/>
        </w:rPr>
        <w:tab/>
      </w:r>
      <w:r>
        <w:rPr>
          <w:rFonts w:ascii="Calibri" w:cs="Calibri" w:eastAsia="Calibri" w:hAnsi="Calibri"/>
          <w:b/>
          <w:bCs/>
          <w:color w:val="13366B"/>
          <w:sz w:val="19"/>
          <w:szCs w:val="19"/>
        </w:rPr>
        <w:t xml:space="preserve">13</w:t>
      </w:r>
    </w:p>
    <w:p>
      <w:pPr>
        <w:tabs>
          <w:tab w:val="right" w:pos="9026" w:leader="dot"/>
        </w:tabs>
        <w:spacing w:after="30" w:line="264"/>
        <w:ind w:left="340"/>
      </w:pPr>
      <w:r>
        <w:rPr>
          <w:rFonts w:ascii="Calibri" w:cs="Calibri" w:eastAsia="Calibri" w:hAnsi="Calibri"/>
          <w:b w:val="false"/>
          <w:bCs w:val="false"/>
          <w:color w:val="20293A"/>
          <w:sz w:val="19"/>
          <w:szCs w:val="19"/>
        </w:rPr>
        <w:t xml:space="preserve">7.1 Alur Utama ICOFR</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13</w:t>
      </w:r>
    </w:p>
    <w:p>
      <w:pPr>
        <w:tabs>
          <w:tab w:val="right" w:pos="9026" w:leader="dot"/>
        </w:tabs>
        <w:spacing w:after="30" w:line="264"/>
        <w:ind w:left="340"/>
      </w:pPr>
      <w:r>
        <w:rPr>
          <w:rFonts w:ascii="Calibri" w:cs="Calibri" w:eastAsia="Calibri" w:hAnsi="Calibri"/>
          <w:b w:val="false"/>
          <w:bCs w:val="false"/>
          <w:color w:val="20293A"/>
          <w:sz w:val="19"/>
          <w:szCs w:val="19"/>
        </w:rPr>
        <w:t xml:space="preserve">7.2 Alur Pendukung</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14</w:t>
      </w:r>
    </w:p>
    <w:p>
      <w:pPr>
        <w:tabs>
          <w:tab w:val="right" w:pos="9026" w:leader="dot"/>
        </w:tabs>
        <w:spacing w:after="60" w:line="264"/>
        <w:ind w:left="0"/>
      </w:pPr>
      <w:r>
        <w:rPr>
          <w:rFonts w:ascii="Calibri" w:cs="Calibri" w:eastAsia="Calibri" w:hAnsi="Calibri"/>
          <w:b/>
          <w:bCs/>
          <w:color w:val="13366B"/>
          <w:sz w:val="20"/>
          <w:szCs w:val="20"/>
        </w:rPr>
        <w:t xml:space="preserve">8. KEBUTUHAN BISNIS</w:t>
      </w:r>
      <w:r>
        <w:rPr>
          <w:rFonts w:ascii="Calibri" w:cs="Calibri" w:eastAsia="Calibri" w:hAnsi="Calibri"/>
          <w:color w:val="D3DCEA"/>
          <w:sz w:val="19"/>
          <w:szCs w:val="19"/>
        </w:rPr>
        <w:tab/>
      </w:r>
      <w:r>
        <w:rPr>
          <w:rFonts w:ascii="Calibri" w:cs="Calibri" w:eastAsia="Calibri" w:hAnsi="Calibri"/>
          <w:b/>
          <w:bCs/>
          <w:color w:val="13366B"/>
          <w:sz w:val="19"/>
          <w:szCs w:val="19"/>
        </w:rPr>
        <w:t xml:space="preserve">15</w:t>
      </w:r>
    </w:p>
    <w:p>
      <w:pPr>
        <w:tabs>
          <w:tab w:val="right" w:pos="9026" w:leader="dot"/>
        </w:tabs>
        <w:spacing w:after="30" w:line="264"/>
        <w:ind w:left="340"/>
      </w:pPr>
      <w:r>
        <w:rPr>
          <w:rFonts w:ascii="Calibri" w:cs="Calibri" w:eastAsia="Calibri" w:hAnsi="Calibri"/>
          <w:b w:val="false"/>
          <w:bCs w:val="false"/>
          <w:color w:val="20293A"/>
          <w:sz w:val="19"/>
          <w:szCs w:val="19"/>
        </w:rPr>
        <w:t xml:space="preserve">8.1 Metode Prioritas MoSCoW</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15</w:t>
      </w:r>
    </w:p>
    <w:p>
      <w:pPr>
        <w:tabs>
          <w:tab w:val="right" w:pos="9026" w:leader="dot"/>
        </w:tabs>
        <w:spacing w:after="30" w:line="264"/>
        <w:ind w:left="340"/>
      </w:pPr>
      <w:r>
        <w:rPr>
          <w:rFonts w:ascii="Calibri" w:cs="Calibri" w:eastAsia="Calibri" w:hAnsi="Calibri"/>
          <w:b w:val="false"/>
          <w:bCs w:val="false"/>
          <w:color w:val="20293A"/>
          <w:sz w:val="19"/>
          <w:szCs w:val="19"/>
        </w:rPr>
        <w:t xml:space="preserve">8.2 Daftar Kebutuhan Bisnis</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15</w:t>
      </w:r>
    </w:p>
    <w:p>
      <w:pPr>
        <w:tabs>
          <w:tab w:val="right" w:pos="9026" w:leader="dot"/>
        </w:tabs>
        <w:spacing w:after="60" w:line="264"/>
        <w:ind w:left="0"/>
      </w:pPr>
      <w:r>
        <w:rPr>
          <w:rFonts w:ascii="Calibri" w:cs="Calibri" w:eastAsia="Calibri" w:hAnsi="Calibri"/>
          <w:b/>
          <w:bCs/>
          <w:color w:val="13366B"/>
          <w:sz w:val="20"/>
          <w:szCs w:val="20"/>
        </w:rPr>
        <w:t xml:space="preserve">9. ATURAN BISNIS</w:t>
      </w:r>
      <w:r>
        <w:rPr>
          <w:rFonts w:ascii="Calibri" w:cs="Calibri" w:eastAsia="Calibri" w:hAnsi="Calibri"/>
          <w:color w:val="D3DCEA"/>
          <w:sz w:val="19"/>
          <w:szCs w:val="19"/>
        </w:rPr>
        <w:tab/>
      </w:r>
      <w:r>
        <w:rPr>
          <w:rFonts w:ascii="Calibri" w:cs="Calibri" w:eastAsia="Calibri" w:hAnsi="Calibri"/>
          <w:b/>
          <w:bCs/>
          <w:color w:val="13366B"/>
          <w:sz w:val="19"/>
          <w:szCs w:val="19"/>
        </w:rPr>
        <w:t xml:space="preserve">19</w:t>
      </w:r>
    </w:p>
    <w:p>
      <w:pPr>
        <w:tabs>
          <w:tab w:val="right" w:pos="9026" w:leader="dot"/>
        </w:tabs>
        <w:spacing w:after="60" w:line="264"/>
        <w:ind w:left="0"/>
      </w:pPr>
      <w:r>
        <w:rPr>
          <w:rFonts w:ascii="Calibri" w:cs="Calibri" w:eastAsia="Calibri" w:hAnsi="Calibri"/>
          <w:b/>
          <w:bCs/>
          <w:color w:val="13366B"/>
          <w:sz w:val="20"/>
          <w:szCs w:val="20"/>
        </w:rPr>
        <w:t xml:space="preserve">10. PEMETAAN KEPATUHAN REGULASI</w:t>
      </w:r>
      <w:r>
        <w:rPr>
          <w:rFonts w:ascii="Calibri" w:cs="Calibri" w:eastAsia="Calibri" w:hAnsi="Calibri"/>
          <w:color w:val="D3DCEA"/>
          <w:sz w:val="19"/>
          <w:szCs w:val="19"/>
        </w:rPr>
        <w:tab/>
      </w:r>
      <w:r>
        <w:rPr>
          <w:rFonts w:ascii="Calibri" w:cs="Calibri" w:eastAsia="Calibri" w:hAnsi="Calibri"/>
          <w:b/>
          <w:bCs/>
          <w:color w:val="13366B"/>
          <w:sz w:val="19"/>
          <w:szCs w:val="19"/>
        </w:rPr>
        <w:t xml:space="preserve">20</w:t>
      </w:r>
    </w:p>
    <w:p>
      <w:pPr>
        <w:tabs>
          <w:tab w:val="right" w:pos="9026" w:leader="dot"/>
        </w:tabs>
        <w:spacing w:after="60" w:line="264"/>
        <w:ind w:left="0"/>
      </w:pPr>
      <w:r>
        <w:rPr>
          <w:rFonts w:ascii="Calibri" w:cs="Calibri" w:eastAsia="Calibri" w:hAnsi="Calibri"/>
          <w:b/>
          <w:bCs/>
          <w:color w:val="13366B"/>
          <w:sz w:val="20"/>
          <w:szCs w:val="20"/>
        </w:rPr>
        <w:t xml:space="preserve">11. BUSINESS CASE &amp; KPI KEBERHASILAN</w:t>
      </w:r>
      <w:r>
        <w:rPr>
          <w:rFonts w:ascii="Calibri" w:cs="Calibri" w:eastAsia="Calibri" w:hAnsi="Calibri"/>
          <w:color w:val="D3DCEA"/>
          <w:sz w:val="19"/>
          <w:szCs w:val="19"/>
        </w:rPr>
        <w:tab/>
      </w:r>
      <w:r>
        <w:rPr>
          <w:rFonts w:ascii="Calibri" w:cs="Calibri" w:eastAsia="Calibri" w:hAnsi="Calibri"/>
          <w:b/>
          <w:bCs/>
          <w:color w:val="13366B"/>
          <w:sz w:val="19"/>
          <w:szCs w:val="19"/>
        </w:rPr>
        <w:t xml:space="preserve">21</w:t>
      </w:r>
    </w:p>
    <w:p>
      <w:pPr>
        <w:tabs>
          <w:tab w:val="right" w:pos="9026" w:leader="dot"/>
        </w:tabs>
        <w:spacing w:after="60" w:line="264"/>
        <w:ind w:left="0"/>
      </w:pPr>
      <w:r>
        <w:rPr>
          <w:rFonts w:ascii="Calibri" w:cs="Calibri" w:eastAsia="Calibri" w:hAnsi="Calibri"/>
          <w:b/>
          <w:bCs/>
          <w:color w:val="13366B"/>
          <w:sz w:val="20"/>
          <w:szCs w:val="20"/>
        </w:rPr>
        <w:t xml:space="preserve">12. KRITERIA PENERIMAAN</w:t>
      </w:r>
      <w:r>
        <w:rPr>
          <w:rFonts w:ascii="Calibri" w:cs="Calibri" w:eastAsia="Calibri" w:hAnsi="Calibri"/>
          <w:color w:val="D3DCEA"/>
          <w:sz w:val="19"/>
          <w:szCs w:val="19"/>
        </w:rPr>
        <w:tab/>
      </w:r>
      <w:r>
        <w:rPr>
          <w:rFonts w:ascii="Calibri" w:cs="Calibri" w:eastAsia="Calibri" w:hAnsi="Calibri"/>
          <w:b/>
          <w:bCs/>
          <w:color w:val="13366B"/>
          <w:sz w:val="19"/>
          <w:szCs w:val="19"/>
        </w:rPr>
        <w:t xml:space="preserve">22</w:t>
      </w:r>
    </w:p>
    <w:p>
      <w:pPr>
        <w:tabs>
          <w:tab w:val="right" w:pos="9026" w:leader="dot"/>
        </w:tabs>
        <w:spacing w:after="60" w:line="264"/>
        <w:ind w:left="0"/>
      </w:pPr>
      <w:r>
        <w:rPr>
          <w:rFonts w:ascii="Calibri" w:cs="Calibri" w:eastAsia="Calibri" w:hAnsi="Calibri"/>
          <w:b/>
          <w:bCs/>
          <w:color w:val="13366B"/>
          <w:sz w:val="20"/>
          <w:szCs w:val="20"/>
        </w:rPr>
        <w:t xml:space="preserve">13. ASUMSI, BATASAN &amp; KETERGANTUNGAN</w:t>
      </w:r>
      <w:r>
        <w:rPr>
          <w:rFonts w:ascii="Calibri" w:cs="Calibri" w:eastAsia="Calibri" w:hAnsi="Calibri"/>
          <w:color w:val="D3DCEA"/>
          <w:sz w:val="19"/>
          <w:szCs w:val="19"/>
        </w:rPr>
        <w:tab/>
      </w:r>
      <w:r>
        <w:rPr>
          <w:rFonts w:ascii="Calibri" w:cs="Calibri" w:eastAsia="Calibri" w:hAnsi="Calibri"/>
          <w:b/>
          <w:bCs/>
          <w:color w:val="13366B"/>
          <w:sz w:val="19"/>
          <w:szCs w:val="19"/>
        </w:rPr>
        <w:t xml:space="preserve">23</w:t>
      </w:r>
    </w:p>
    <w:p>
      <w:pPr>
        <w:tabs>
          <w:tab w:val="right" w:pos="9026" w:leader="dot"/>
        </w:tabs>
        <w:spacing w:after="60" w:line="264"/>
        <w:ind w:left="0"/>
      </w:pPr>
      <w:r>
        <w:rPr>
          <w:rFonts w:ascii="Calibri" w:cs="Calibri" w:eastAsia="Calibri" w:hAnsi="Calibri"/>
          <w:b/>
          <w:bCs/>
          <w:color w:val="13366B"/>
          <w:sz w:val="20"/>
          <w:szCs w:val="20"/>
        </w:rPr>
        <w:t xml:space="preserve">14. RISIKO BISNIS &amp; MITIGASI</w:t>
      </w:r>
      <w:r>
        <w:rPr>
          <w:rFonts w:ascii="Calibri" w:cs="Calibri" w:eastAsia="Calibri" w:hAnsi="Calibri"/>
          <w:color w:val="D3DCEA"/>
          <w:sz w:val="19"/>
          <w:szCs w:val="19"/>
        </w:rPr>
        <w:tab/>
      </w:r>
      <w:r>
        <w:rPr>
          <w:rFonts w:ascii="Calibri" w:cs="Calibri" w:eastAsia="Calibri" w:hAnsi="Calibri"/>
          <w:b/>
          <w:bCs/>
          <w:color w:val="13366B"/>
          <w:sz w:val="19"/>
          <w:szCs w:val="19"/>
        </w:rPr>
        <w:t xml:space="preserve">24</w:t>
      </w:r>
    </w:p>
    <w:p>
      <w:pPr>
        <w:tabs>
          <w:tab w:val="right" w:pos="9026" w:leader="dot"/>
        </w:tabs>
        <w:spacing w:after="60" w:line="264"/>
        <w:ind w:left="0"/>
      </w:pPr>
      <w:r>
        <w:rPr>
          <w:rFonts w:ascii="Calibri" w:cs="Calibri" w:eastAsia="Calibri" w:hAnsi="Calibri"/>
          <w:b/>
          <w:bCs/>
          <w:color w:val="13366B"/>
          <w:sz w:val="20"/>
          <w:szCs w:val="20"/>
        </w:rPr>
        <w:t xml:space="preserve">LEMBAR PERSETUJUAN</w:t>
      </w:r>
      <w:r>
        <w:rPr>
          <w:rFonts w:ascii="Calibri" w:cs="Calibri" w:eastAsia="Calibri" w:hAnsi="Calibri"/>
          <w:color w:val="D3DCEA"/>
          <w:sz w:val="19"/>
          <w:szCs w:val="19"/>
        </w:rPr>
        <w:tab/>
      </w:r>
      <w:r>
        <w:rPr>
          <w:rFonts w:ascii="Calibri" w:cs="Calibri" w:eastAsia="Calibri" w:hAnsi="Calibri"/>
          <w:b/>
          <w:bCs/>
          <w:color w:val="13366B"/>
          <w:sz w:val="19"/>
          <w:szCs w:val="19"/>
        </w:rPr>
        <w:t xml:space="preserve">25</w:t>
      </w:r>
    </w:p>
    <w:p>
      <w:r>
        <w:br w:type="page"/>
      </w:r>
    </w:p>
    <w:p>
      <w:pPr>
        <w:pStyle w:val="Heading1"/>
        <w:pBdr>
          <w:bottom w:val="single" w:color="C0891F" w:sz="12" w:space="6"/>
        </w:pBdr>
        <w:spacing w:after="200" w:before="0"/>
      </w:pPr>
      <w:r>
        <w:rPr>
          <w:rFonts w:ascii="Cambria" w:cs="Cambria" w:eastAsia="Cambria" w:hAnsi="Cambria"/>
          <w:b/>
          <w:bCs/>
          <w:color w:val="13366B"/>
          <w:sz w:val="30"/>
          <w:szCs w:val="30"/>
        </w:rPr>
        <w:t xml:space="preserve">KENDALI DOKUMEN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7"/>
        <w:gridCol w:w="6679"/>
      </w:tblGrid>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Nama Dokumen</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Business Requirement Document (BRD)</w:t>
            </w:r>
          </w:p>
        </w:tc>
      </w:tr>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Kode Dokumen</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DOK-01</w:t>
            </w:r>
          </w:p>
        </w:tc>
      </w:tr>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Batch</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B1 — Fondasi Bisnis &amp; Sistem</w:t>
            </w:r>
          </w:p>
        </w:tc>
      </w:tr>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Bergantung Pada</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DOK-00 (Master Plan) — Baseline</w:t>
            </w:r>
          </w:p>
        </w:tc>
      </w:tr>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Menjadi Dasar Bagi</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DOK-02 (SRS) · DOK-03 (FRS) · DOK-34 (Test Plan)</w:t>
            </w:r>
          </w:p>
        </w:tc>
      </w:tr>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Versi / Status</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1.0 / Baseline</w:t>
            </w:r>
          </w:p>
        </w:tc>
      </w:tr>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Tanggal Terbit</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12 Juli 2026</w:t>
            </w:r>
          </w:p>
        </w:tc>
      </w:tr>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Penyusun</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The Millennials Institute</w:t>
            </w:r>
          </w:p>
        </w:tc>
      </w:tr>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Klasifikasi</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Rahasia &amp; Terbatas</w:t>
            </w:r>
          </w:p>
        </w:tc>
      </w:tr>
    </w:tbl>
    <w:p>
      <w:pPr>
        <w:spacing w:after="240"/>
      </w:pPr>
    </w:p>
    <w:p>
      <w:pPr>
        <w:pStyle w:val="Heading2"/>
        <w:spacing w:after="120" w:before="260"/>
      </w:pPr>
      <w:r>
        <w:rPr>
          <w:rFonts w:ascii="Cambria" w:cs="Cambria" w:eastAsia="Cambria" w:hAnsi="Cambria"/>
          <w:b/>
          <w:bCs/>
          <w:color w:val="1B4A8A"/>
          <w:sz w:val="24"/>
          <w:szCs w:val="24"/>
        </w:rPr>
        <w:t xml:space="preserve">Riwayat Revisi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3"/>
        <w:gridCol w:w="1444"/>
        <w:gridCol w:w="5235"/>
        <w:gridCol w:w="1444"/>
      </w:tblGrid>
      <w:tr>
        <w:trPr>
          <w:tblHeader/>
        </w:trPr>
        <w:tc>
          <w:tcPr>
            <w:tcW w:type="dxa" w:w="903"/>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Versi</w:t>
            </w:r>
          </w:p>
        </w:tc>
        <w:tc>
          <w:tcPr>
            <w:tcW w:type="dxa" w:w="1444"/>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Tanggal</w:t>
            </w:r>
          </w:p>
        </w:tc>
        <w:tc>
          <w:tcPr>
            <w:tcW w:type="dxa" w:w="5235"/>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Deskripsi Perubahan</w:t>
            </w:r>
          </w:p>
        </w:tc>
        <w:tc>
          <w:tcPr>
            <w:tcW w:type="dxa" w:w="1444"/>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Penyusun</w:t>
            </w:r>
          </w:p>
        </w:tc>
      </w:tr>
      <w:tr>
        <w:tc>
          <w:tcPr>
            <w:tcW w:type="dxa" w:w="90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color w:val="20293A"/>
                <w:sz w:val="18"/>
                <w:szCs w:val="18"/>
              </w:rPr>
              <w:t xml:space="preserve">0.1</w:t>
            </w:r>
          </w:p>
        </w:tc>
        <w:tc>
          <w:tcPr>
            <w:tcW w:type="dxa" w:w="144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color w:val="20293A"/>
                <w:sz w:val="18"/>
                <w:szCs w:val="18"/>
              </w:rPr>
              <w:t xml:space="preserve">12 Juli 2026</w:t>
            </w:r>
          </w:p>
        </w:tc>
        <w:tc>
          <w:tcPr>
            <w:tcW w:type="dxa" w:w="523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Draf awal — analisis as-is, persona, kerangka kebutuhan.</w:t>
            </w:r>
          </w:p>
        </w:tc>
        <w:tc>
          <w:tcPr>
            <w:tcW w:type="dxa" w:w="144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color w:val="20293A"/>
                <w:sz w:val="18"/>
                <w:szCs w:val="18"/>
              </w:rPr>
              <w:t xml:space="preserve">TMI</w:t>
            </w:r>
          </w:p>
        </w:tc>
      </w:tr>
      <w:tr>
        <w:tc>
          <w:tcPr>
            <w:tcW w:type="dxa" w:w="90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color w:val="20293A"/>
                <w:sz w:val="18"/>
                <w:szCs w:val="18"/>
              </w:rPr>
              <w:t xml:space="preserve">1.0</w:t>
            </w:r>
          </w:p>
        </w:tc>
        <w:tc>
          <w:tcPr>
            <w:tcW w:type="dxa" w:w="144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color w:val="20293A"/>
                <w:sz w:val="18"/>
                <w:szCs w:val="18"/>
              </w:rPr>
              <w:t xml:space="preserve">12 Juli 2026</w:t>
            </w:r>
          </w:p>
        </w:tc>
        <w:tc>
          <w:tcPr>
            <w:tcW w:type="dxa" w:w="523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Baseline — 65 kebutuhan bisnis, 12 aturan bisnis, 5 alur to-be, pemetaan POJK 15/2024, 10 KPI keberhasilan, 8 kriteria penerimaan.</w:t>
            </w:r>
          </w:p>
        </w:tc>
        <w:tc>
          <w:tcPr>
            <w:tcW w:type="dxa" w:w="144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color w:val="20293A"/>
                <w:sz w:val="18"/>
                <w:szCs w:val="18"/>
              </w:rPr>
              <w:t xml:space="preserve">TMI</w:t>
            </w:r>
          </w:p>
        </w:tc>
      </w:tr>
    </w:tbl>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1. RINGKASAN EKSEKUTIF</w:t>
      </w:r>
    </w:p>
    <w:p>
      <w:pPr>
        <w:spacing w:after="120" w:line="276"/>
        <w:jc w:val="both"/>
      </w:pPr>
      <w:r>
        <w:rPr>
          <w:rFonts w:ascii="Calibri" w:cs="Calibri" w:eastAsia="Calibri" w:hAnsi="Calibri"/>
          <w:color w:val="20293A"/>
          <w:sz w:val="21"/>
          <w:szCs w:val="21"/>
        </w:rPr>
        <w:t xml:space="preserve">POJK No. 15 Tahun 2024 mengubah pengendalian internal atas pelaporan keuangan dari praktik yang dianjurkan menjadi kewajiban hukum bersanksi — denda paling sedikit Rp2 miliar dan paling banyak Rp50 miliar untuk setiap pelanggaran. Kewajiban ini bersifat berkelanjutan, bukan sekali jalan: setiap tahun buku, Bank harus membuktikan bahwa pengendalian atas pelaporan keuangannya dirancang memadai dan beroperasi efektif, dengan bukti yang dapat diperiksa auditor eksternal dan regulator.</w:t>
      </w:r>
    </w:p>
    <w:p>
      <w:pPr>
        <w:spacing w:after="120" w:line="276"/>
        <w:jc w:val="both"/>
      </w:pPr>
      <w:r>
        <w:rPr>
          <w:rFonts w:ascii="Calibri" w:cs="Calibri" w:eastAsia="Calibri" w:hAnsi="Calibri"/>
          <w:color w:val="20293A"/>
          <w:sz w:val="21"/>
          <w:szCs w:val="21"/>
        </w:rPr>
        <w:t xml:space="preserve">Beban pembuktian inilah yang tidak dapat ditanggung spreadsheet. Bukan karena spreadsheet tidak mampu menyimpan data, melainkan karena spreadsheet tidak dapat membuktikan apa pun tentang dirinya sendiri: siapa mengubah apa, kapan, atas dasar bukti mana, dan dengan persetujuan siapa. Pertanyaan-pertanyaan itulah yang diajukan auditor — dan jawabannya harus tersedia dalam hitungan menit, bukan hari.</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auto" w:sz="0"/>
              <w:left w:val="single" w:color="C0891F" w:sz="24"/>
              <w:bottom w:val="none" w:color="auto" w:sz="0"/>
              <w:right w:val="none" w:color="auto" w:sz="0"/>
            </w:tcBorders>
            <w:shd w:fill="F6ECD4" w:color="auto" w:val="clear"/>
            <w:tcMar>
              <w:top w:type="dxa" w:w="100"/>
              <w:left w:type="dxa" w:w="160"/>
              <w:bottom w:type="dxa" w:w="100"/>
              <w:right w:type="dxa" w:w="140"/>
            </w:tcMar>
          </w:tcPr>
          <w:p>
            <w:pPr>
              <w:spacing w:after="60" w:before="40"/>
            </w:pPr>
            <w:r>
              <w:rPr>
                <w:rFonts w:ascii="Calibri" w:cs="Calibri" w:eastAsia="Calibri" w:hAnsi="Calibri"/>
                <w:b/>
                <w:bCs/>
                <w:color w:val="13366B"/>
                <w:sz w:val="20"/>
                <w:szCs w:val="20"/>
              </w:rPr>
              <w:t xml:space="preserve">Tesis Dokumen Ini</w:t>
            </w:r>
          </w:p>
          <w:p>
            <w:pPr>
              <w:spacing w:after="40" w:line="264"/>
              <w:jc w:val="both"/>
            </w:pPr>
            <w:r>
              <w:rPr>
                <w:rFonts w:ascii="Calibri" w:cs="Calibri" w:eastAsia="Calibri" w:hAnsi="Calibri"/>
                <w:color w:val="20293A"/>
                <w:sz w:val="19"/>
                <w:szCs w:val="19"/>
              </w:rPr>
              <w:t xml:space="preserve">ICOP GRC Platform dibutuhkan bukan untuk mempercantik pelaporan, melainkan untuk memindahkan pengendalian internal dari status "dokumen yang disusun" menjadi "data yang hidup". Ketika RCM adalah entitas basis data dengan pemilik, versi, dan jejak audit — bukan berkas Excel — maka atestasi Direktur Utama berpijak pada sesuatu yang dapat diverifikasi, bukan pada kepercayaan.</w:t>
            </w:r>
          </w:p>
        </w:tc>
      </w:tr>
    </w:tbl>
    <w:p>
      <w:pPr>
        <w:spacing w:after="140"/>
      </w:pPr>
    </w:p>
    <w:p>
      <w:pPr>
        <w:spacing w:after="120" w:line="276"/>
        <w:jc w:val="both"/>
      </w:pPr>
      <w:r>
        <w:rPr>
          <w:rFonts w:ascii="Calibri" w:cs="Calibri" w:eastAsia="Calibri" w:hAnsi="Calibri"/>
          <w:color w:val="20293A"/>
          <w:sz w:val="21"/>
          <w:szCs w:val="21"/>
        </w:rPr>
        <w:t xml:space="preserve">Dokumen ini menetapkan 65 kebutuhan bisnis (BR-001 s.d. BR-065) dan 12 aturan bisnis yang mengikat, diturunkan dari tiga sumber: mandat regulasi (POJK 15/2024, COSO, SOX 404, Basel), sepuluh titik nyeri operasional yang teridentifikasi, dan kebutuhan delapan persona pengguna. Setiap kebutuhan tertaut ke sumbernya dan akan diturunkan menjadi kebutuhan fungsional pada DOK-02 dan DOK-03.</w:t>
      </w:r>
    </w:p>
    <w:p>
      <w:pPr>
        <w:spacing w:after="160"/>
      </w:pPr>
    </w:p>
    <w:p>
      <w:pPr>
        <w:pStyle w:val="Heading2"/>
        <w:spacing w:after="120" w:before="260"/>
      </w:pPr>
      <w:r>
        <w:rPr>
          <w:rFonts w:ascii="Cambria" w:cs="Cambria" w:eastAsia="Cambria" w:hAnsi="Cambria"/>
          <w:b/>
          <w:bCs/>
          <w:color w:val="1B4A8A"/>
          <w:sz w:val="24"/>
          <w:szCs w:val="24"/>
        </w:rPr>
        <w:t xml:space="preserve">Angka Kunci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0"/>
        <w:gridCol w:w="5416"/>
      </w:tblGrid>
      <w:tr>
        <w:trPr>
          <w:tblHeader/>
        </w:trPr>
        <w:tc>
          <w:tcPr>
            <w:tcW w:type="dxa" w:w="3610"/>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Ukuran</w:t>
            </w:r>
          </w:p>
        </w:tc>
        <w:tc>
          <w:tcPr>
            <w:tcW w:type="dxa" w:w="541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Nilai</w:t>
            </w:r>
          </w:p>
        </w:tc>
      </w:tr>
      <w:tr>
        <w:tc>
          <w:tcPr>
            <w:tcW w:type="dxa" w:w="361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8"/>
                <w:szCs w:val="18"/>
              </w:rPr>
              <w:t xml:space="preserve">Kebutuhan bisnis yang ditetapkan</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BR-001 s.d. BR-065 — 65 kebutuhan</w:t>
            </w:r>
          </w:p>
        </w:tc>
      </w:tr>
      <w:tr>
        <w:tc>
          <w:tcPr>
            <w:tcW w:type="dxa" w:w="361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8"/>
                <w:szCs w:val="18"/>
              </w:rPr>
              <w:t xml:space="preserve">Berkategori Must Have</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54 dari 65 (83%)</w:t>
            </w:r>
          </w:p>
        </w:tc>
      </w:tr>
      <w:tr>
        <w:tc>
          <w:tcPr>
            <w:tcW w:type="dxa" w:w="361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8"/>
                <w:szCs w:val="18"/>
              </w:rPr>
              <w:t xml:space="preserve">Aturan bisnis yang mengikat sistem</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BRL-001 s.d. BRL-012 — 12 aturan</w:t>
            </w:r>
          </w:p>
        </w:tc>
      </w:tr>
      <w:tr>
        <w:tc>
          <w:tcPr>
            <w:tcW w:type="dxa" w:w="361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8"/>
                <w:szCs w:val="18"/>
              </w:rPr>
              <w:t xml:space="preserve">Modul platform</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17 modul (lihat DOK-00 §2.2)</w:t>
            </w:r>
          </w:p>
        </w:tc>
      </w:tr>
      <w:tr>
        <w:tc>
          <w:tcPr>
            <w:tcW w:type="dxa" w:w="361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8"/>
                <w:szCs w:val="18"/>
              </w:rPr>
              <w:t xml:space="preserve">Persona pengguna utama</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8 persona</w:t>
            </w:r>
          </w:p>
        </w:tc>
      </w:tr>
      <w:tr>
        <w:tc>
          <w:tcPr>
            <w:tcW w:type="dxa" w:w="361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8"/>
                <w:szCs w:val="18"/>
              </w:rPr>
              <w:t xml:space="preserve">Alur kerja end-to-end yang didukung</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5 alur — ICOFR, ERM, Audit Internal, Kepatuhan, Kebijakan</w:t>
            </w:r>
          </w:p>
        </w:tc>
      </w:tr>
      <w:tr>
        <w:tc>
          <w:tcPr>
            <w:tcW w:type="dxa" w:w="361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8"/>
                <w:szCs w:val="18"/>
              </w:rPr>
              <w:t xml:space="preserve">Titik nyeri yang diatasi</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10 pain point (PN-01 s.d. PN-10), 4 di antaranya berkategori Kritis</w:t>
            </w:r>
          </w:p>
        </w:tc>
      </w:tr>
      <w:tr>
        <w:tc>
          <w:tcPr>
            <w:tcW w:type="dxa" w:w="361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8"/>
                <w:szCs w:val="18"/>
              </w:rPr>
              <w:t xml:space="preserve">Kriteria penerimaan</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8 kriteria (AC-01 s.d. AC-08)</w:t>
            </w:r>
          </w:p>
        </w:tc>
      </w:tr>
    </w:tbl>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2. LATAR BELAKANG BISNIS &amp; REGULASI</w:t>
      </w:r>
    </w:p>
    <w:p>
      <w:pPr>
        <w:pStyle w:val="Heading2"/>
        <w:spacing w:after="120" w:before="260"/>
      </w:pPr>
      <w:r>
        <w:rPr>
          <w:rFonts w:ascii="Cambria" w:cs="Cambria" w:eastAsia="Cambria" w:hAnsi="Cambria"/>
          <w:b/>
          <w:bCs/>
          <w:color w:val="1B4A8A"/>
          <w:sz w:val="24"/>
          <w:szCs w:val="24"/>
        </w:rPr>
        <w:t xml:space="preserve">2.1 Mandat POJK No. 15 Tahun 2024</w:t>
      </w:r>
    </w:p>
    <w:p>
      <w:pPr>
        <w:spacing w:after="120" w:line="276"/>
        <w:jc w:val="both"/>
      </w:pPr>
      <w:r>
        <w:rPr>
          <w:rFonts w:ascii="Calibri" w:cs="Calibri" w:eastAsia="Calibri" w:hAnsi="Calibri"/>
          <w:color w:val="20293A"/>
          <w:sz w:val="21"/>
          <w:szCs w:val="21"/>
        </w:rPr>
        <w:t xml:space="preserve">POJK 15/2024 tentang Integritas Pelaporan Keuangan Bank menetapkan kewajiban yang berdampak langsung pada rancangan platform. Tabel berikut memetakan setiap pasal kunci ke implikasi sistemnya dan ke kebutuhan bisnis yang menjawabnya. Pemetaan ini adalah dasar ketertelusuran regulasi yang akan diwarisi seluruh dokumen hilir.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2"/>
        <w:gridCol w:w="2888"/>
        <w:gridCol w:w="3610"/>
        <w:gridCol w:w="1806"/>
      </w:tblGrid>
      <w:tr>
        <w:trPr>
          <w:tblHeader/>
        </w:trPr>
        <w:tc>
          <w:tcPr>
            <w:tcW w:type="dxa" w:w="72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Pasal</w:t>
            </w:r>
          </w:p>
        </w:tc>
        <w:tc>
          <w:tcPr>
            <w:tcW w:type="dxa" w:w="2888"/>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Ketentuan</w:t>
            </w:r>
          </w:p>
        </w:tc>
        <w:tc>
          <w:tcPr>
            <w:tcW w:type="dxa" w:w="3610"/>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Implikasi terhadap Platform</w:t>
            </w:r>
          </w:p>
        </w:tc>
        <w:tc>
          <w:tcPr>
            <w:tcW w:type="dxa" w:w="180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Kebutuhan</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Pasal 2</w:t>
            </w:r>
          </w:p>
        </w:tc>
        <w:tc>
          <w:tcPr>
            <w:tcW w:type="dxa" w:w="288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Bank wajib memiliki proses pelaporan keuangan yang berintegritas untuk memastikan kebenaran, keakuratan, serta transparansi Informasi Keuangan dan Laporan Keuangan.</w:t>
            </w:r>
          </w:p>
        </w:tc>
        <w:tc>
          <w:tcPr>
            <w:tcW w:type="dxa" w:w="361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Model data tunggal yang menautkan akun → proses → risiko → pengendalian → bukti → kesimpulan, sehingga integritas dapat dibuktikan, bukan diklaim.</w:t>
            </w:r>
          </w:p>
        </w:tc>
        <w:tc>
          <w:tcPr>
            <w:tcW w:type="dxa" w:w="180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BR-010, BR-011, BR-024</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Pasal 3</w:t>
            </w:r>
          </w:p>
        </w:tc>
        <w:tc>
          <w:tcPr>
            <w:tcW w:type="dxa" w:w="288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Sanksi administratif berupa denda paling sedikit Rp2 miliar dan paling banyak Rp50 miliar untuk setiap pelanggaran.</w:t>
            </w:r>
          </w:p>
        </w:tc>
        <w:tc>
          <w:tcPr>
            <w:tcW w:type="dxa" w:w="361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Pemantauan kepatuhan berkelanjutan dengan peringatan dini atas kewajiban yang berisiko tidak terpenuhi.</w:t>
            </w:r>
          </w:p>
        </w:tc>
        <w:tc>
          <w:tcPr>
            <w:tcW w:type="dxa" w:w="180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BR-038, BR-041</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Pasal 4</w:t>
            </w:r>
          </w:p>
        </w:tc>
        <w:tc>
          <w:tcPr>
            <w:tcW w:type="dxa" w:w="288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Bank wajib menyusun, menetapkan, dan memastikan penerapan kebijakan &amp; prosedur pengendalian internal dalam proses pelaporan keuangan. Penetapan oleh Direktur Utama setelah persetujuan Dewan Komisaris.</w:t>
            </w:r>
          </w:p>
        </w:tc>
        <w:tc>
          <w:tcPr>
            <w:tcW w:type="dxa" w:w="361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Manajemen kebijakan dengan persetujuan berjenjang hingga Direktur Utama &amp; Dewan Komisaris, versi terkendali, dan bukti acknowledgement pengguna.</w:t>
            </w:r>
          </w:p>
        </w:tc>
        <w:tc>
          <w:tcPr>
            <w:tcW w:type="dxa" w:w="180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BR-039, BR-040, BR-042</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Pasal 5</w:t>
            </w:r>
          </w:p>
        </w:tc>
        <w:tc>
          <w:tcPr>
            <w:tcW w:type="dxa" w:w="288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Bank wajib membentuk Unit Kerja Khusus atau menunjuk Pejabat Eksekutif yang bertanggung jawab atas pencegahan kecurangan/manipulasi Informasi &amp; Laporan Keuangan.</w:t>
            </w:r>
          </w:p>
        </w:tc>
        <w:tc>
          <w:tcPr>
            <w:tcW w:type="dxa" w:w="361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Struktur organisasi &amp; RBAC yang mengakomodasi UKK ICOFR sebagai koordinator lintas lini dengan kewenangan validasi tersendiri.</w:t>
            </w:r>
          </w:p>
        </w:tc>
        <w:tc>
          <w:tcPr>
            <w:tcW w:type="dxa" w:w="180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BR-006, BR-060</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Pasal 8</w:t>
            </w:r>
          </w:p>
        </w:tc>
        <w:tc>
          <w:tcPr>
            <w:tcW w:type="dxa" w:w="288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Direksi wajib menyampaikan laporan pengendalian internal dalam proses pelaporan keuangan Bank kepada Otoritas Jasa Keuangan.</w:t>
            </w:r>
          </w:p>
        </w:tc>
        <w:tc>
          <w:tcPr>
            <w:tcW w:type="dxa" w:w="361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Generator Laporan OJK yang dibangkitkan langsung dari data pengujian, ditandatangani digital, dan diarsipkan secara immutable.</w:t>
            </w:r>
          </w:p>
        </w:tc>
        <w:tc>
          <w:tcPr>
            <w:tcW w:type="dxa" w:w="180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BR-051, BR-053, BR-064</w:t>
            </w:r>
          </w:p>
        </w:tc>
      </w:tr>
    </w:tbl>
    <w:p>
      <w:pPr>
        <w:spacing w:after="180" w:before="60"/>
        <w:jc w:val="left"/>
      </w:pPr>
      <w:r>
        <w:rPr>
          <w:rFonts w:ascii="Calibri" w:cs="Calibri" w:eastAsia="Calibri" w:hAnsi="Calibri"/>
          <w:i/>
          <w:iCs/>
          <w:color w:val="5C6B7E"/>
          <w:sz w:val="17"/>
          <w:szCs w:val="17"/>
        </w:rPr>
        <w:t xml:space="preserve">Tabel 2.1 — Pemetaan POJK 15/2024 ke kebutuhan platform.</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auto" w:sz="0"/>
              <w:left w:val="single" w:color="C0891F" w:sz="24"/>
              <w:bottom w:val="none" w:color="auto" w:sz="0"/>
              <w:right w:val="none" w:color="auto" w:sz="0"/>
            </w:tcBorders>
            <w:shd w:fill="F6ECD4" w:color="auto" w:val="clear"/>
            <w:tcMar>
              <w:top w:type="dxa" w:w="100"/>
              <w:left w:type="dxa" w:w="160"/>
              <w:bottom w:type="dxa" w:w="100"/>
              <w:right w:type="dxa" w:w="140"/>
            </w:tcMar>
          </w:tcPr>
          <w:p>
            <w:pPr>
              <w:spacing w:after="60" w:before="40"/>
            </w:pPr>
            <w:r>
              <w:rPr>
                <w:rFonts w:ascii="Calibri" w:cs="Calibri" w:eastAsia="Calibri" w:hAnsi="Calibri"/>
                <w:b/>
                <w:bCs/>
                <w:color w:val="13366B"/>
                <w:sz w:val="20"/>
                <w:szCs w:val="20"/>
              </w:rPr>
              <w:t xml:space="preserve">Tenggat yang Sudah Lewat</w:t>
            </w:r>
          </w:p>
          <w:p>
            <w:pPr>
              <w:spacing w:after="40" w:line="264"/>
              <w:jc w:val="both"/>
            </w:pPr>
            <w:r>
              <w:rPr>
                <w:rFonts w:ascii="Calibri" w:cs="Calibri" w:eastAsia="Calibri" w:hAnsi="Calibri"/>
                <w:color w:val="20293A"/>
                <w:sz w:val="19"/>
                <w:szCs w:val="19"/>
              </w:rPr>
              <w:t xml:space="preserve">Kebijakan &amp; prosedur pengendalian internal wajib ditetapkan paling lama 3 bulan sejak POJK diundangkan. Unit Kerja Khusus atau Pejabat Eksekutif wajib dibentuk paling lama 6 bulan sejak POJK diundangkan — yakni April 2025. Konsekuensinya: platform ini tidak dibangun untuk mengejar tenggat pembentukan, melainkan untuk menopang kewajiban berkelanjutan yang sudah berjalan — pengujian, pelaporan, dan atestasi setiap tahun buku.</w:t>
            </w:r>
          </w:p>
        </w:tc>
      </w:tr>
    </w:tbl>
    <w:p>
      <w:pPr>
        <w:pStyle w:val="Heading2"/>
        <w:spacing w:after="120" w:before="260"/>
      </w:pPr>
      <w:r>
        <w:rPr>
          <w:rFonts w:ascii="Cambria" w:cs="Cambria" w:eastAsia="Cambria" w:hAnsi="Cambria"/>
          <w:b/>
          <w:bCs/>
          <w:color w:val="1B4A8A"/>
          <w:sz w:val="24"/>
          <w:szCs w:val="24"/>
        </w:rPr>
        <w:t xml:space="preserve">2.2 Kerangka Pengendalian yang Dirujuk</w:t>
      </w:r>
    </w:p>
    <w:p>
      <w:pPr>
        <w:spacing w:after="120" w:line="276"/>
        <w:jc w:val="both"/>
      </w:pPr>
      <w:r>
        <w:rPr>
          <w:rFonts w:ascii="Calibri" w:cs="Calibri" w:eastAsia="Calibri" w:hAnsi="Calibri"/>
          <w:color w:val="20293A"/>
          <w:sz w:val="21"/>
          <w:szCs w:val="21"/>
        </w:rPr>
        <w:t xml:space="preserve">Platform tidak menciptakan metodologi baru. Ia mengoperasionalkan kerangka yang sudah diakui, sehingga hasil kerjanya dapat diterima auditor eksternal tanpa perdebatan metodologis.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7"/>
        <w:gridCol w:w="6679"/>
      </w:tblGrid>
      <w:tr>
        <w:trPr>
          <w:tblHeader/>
        </w:trPr>
        <w:tc>
          <w:tcPr>
            <w:tcW w:type="dxa" w:w="2347"/>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Kerangka</w:t>
            </w:r>
          </w:p>
        </w:tc>
        <w:tc>
          <w:tcPr>
            <w:tcW w:type="dxa" w:w="6679"/>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Peran dalam Platform</w:t>
            </w:r>
          </w:p>
        </w:tc>
      </w:tr>
      <w:tr>
        <w:tc>
          <w:tcPr>
            <w:tcW w:type="dxa" w:w="234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COSO Internal Control (2013)</w:t>
            </w:r>
          </w:p>
        </w:tc>
        <w:tc>
          <w:tcPr>
            <w:tcW w:type="dxa" w:w="667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Struktur Entity Level Control atas lima komponen: lingkungan pengendalian, penilaian risiko, aktivitas pengendalian, informasi &amp; komunikasi, pemantauan.</w:t>
            </w:r>
          </w:p>
        </w:tc>
      </w:tr>
      <w:tr>
        <w:tc>
          <w:tcPr>
            <w:tcW w:type="dxa" w:w="234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COSO ERM (2017) &amp; ISO 31000</w:t>
            </w:r>
          </w:p>
        </w:tc>
        <w:tc>
          <w:tcPr>
            <w:tcW w:type="dxa" w:w="667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Struktur risk universe, taksonomi, appetite, tolerance, dan proses penilaian risiko inheren–residual.</w:t>
            </w:r>
          </w:p>
        </w:tc>
      </w:tr>
      <w:tr>
        <w:tc>
          <w:tcPr>
            <w:tcW w:type="dxa" w:w="234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Three Lines Model (IIA, 2020)</w:t>
            </w:r>
          </w:p>
        </w:tc>
        <w:tc>
          <w:tcPr>
            <w:tcW w:type="dxa" w:w="667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Pemisahan peran: Lini 1 menjalankan &amp; menilai mandiri, Lini 2 memvalidasi &amp; memantau, Lini 3 menguji independen. Ditegakkan melalui RBAC dan aturan pemisahan tugas.</w:t>
            </w:r>
          </w:p>
        </w:tc>
      </w:tr>
      <w:tr>
        <w:tc>
          <w:tcPr>
            <w:tcW w:type="dxa" w:w="234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SOX 404 &amp; PCAOB AS 2201</w:t>
            </w:r>
          </w:p>
        </w:tc>
        <w:tc>
          <w:tcPr>
            <w:tcW w:type="dxa" w:w="667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Metodologi klasifikasi defisiensi (Control Deficiency, Significant Deficiency, Material Weakness) dan pendekatan top-down berbasis risiko.</w:t>
            </w:r>
          </w:p>
        </w:tc>
      </w:tr>
      <w:tr>
        <w:tc>
          <w:tcPr>
            <w:tcW w:type="dxa" w:w="234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COBIT 2019</w:t>
            </w:r>
          </w:p>
        </w:tc>
        <w:tc>
          <w:tcPr>
            <w:tcW w:type="dxa" w:w="667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Struktur domain ITGC: akses logis &amp; istimewa, manajemen perubahan, backup &amp; pemulihan, operasi TI.</w:t>
            </w:r>
          </w:p>
        </w:tc>
      </w:tr>
      <w:tr>
        <w:tc>
          <w:tcPr>
            <w:tcW w:type="dxa" w:w="234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Basel Committee</w:t>
            </w:r>
          </w:p>
        </w:tc>
        <w:tc>
          <w:tcPr>
            <w:tcW w:type="dxa" w:w="667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Kategorisasi loss event dan prinsip pengelolaan risiko operasional.</w:t>
            </w:r>
          </w:p>
        </w:tc>
      </w:tr>
      <w:tr>
        <w:tc>
          <w:tcPr>
            <w:tcW w:type="dxa" w:w="234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PSAK / IFRS</w:t>
            </w:r>
          </w:p>
        </w:tc>
        <w:tc>
          <w:tcPr>
            <w:tcW w:type="dxa" w:w="667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Basis asersi laporan keuangan dan checklist penyajian &amp; pengungkapan.</w:t>
            </w:r>
          </w:p>
        </w:tc>
      </w:tr>
    </w:tbl>
    <w:p>
      <w:pPr>
        <w:pStyle w:val="Heading2"/>
        <w:spacing w:after="120" w:before="260"/>
      </w:pPr>
      <w:r>
        <w:rPr>
          <w:rFonts w:ascii="Cambria" w:cs="Cambria" w:eastAsia="Cambria" w:hAnsi="Cambria"/>
          <w:b/>
          <w:bCs/>
          <w:color w:val="1B4A8A"/>
          <w:sz w:val="24"/>
          <w:szCs w:val="24"/>
        </w:rPr>
        <w:t xml:space="preserve">2.3 Model Tiga Lini Pertahanan</w:t>
      </w:r>
    </w:p>
    <w:p>
      <w:pPr>
        <w:spacing w:after="120" w:line="276"/>
        <w:jc w:val="both"/>
      </w:pPr>
      <w:r>
        <w:rPr>
          <w:rFonts w:ascii="Calibri" w:cs="Calibri" w:eastAsia="Calibri" w:hAnsi="Calibri"/>
          <w:color w:val="20293A"/>
          <w:sz w:val="21"/>
          <w:szCs w:val="21"/>
        </w:rPr>
        <w:t xml:space="preserve">Model tiga lini bukan sekadar diagram organisasi — ia adalah aturan yang harus ditegakkan sistem. Platform menerjemahkannya menjadi pembatasan konkret pada siapa boleh melakukan apa terhadap objek yang sama.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2"/>
        <w:gridCol w:w="2166"/>
        <w:gridCol w:w="3069"/>
        <w:gridCol w:w="3069"/>
      </w:tblGrid>
      <w:tr>
        <w:trPr>
          <w:tblHeader/>
        </w:trPr>
        <w:tc>
          <w:tcPr>
            <w:tcW w:type="dxa" w:w="72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Lini</w:t>
            </w:r>
          </w:p>
        </w:tc>
        <w:tc>
          <w:tcPr>
            <w:tcW w:type="dxa" w:w="216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Peran</w:t>
            </w:r>
          </w:p>
        </w:tc>
        <w:tc>
          <w:tcPr>
            <w:tcW w:type="dxa" w:w="3069"/>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Kewenangan dalam Platform</w:t>
            </w:r>
          </w:p>
        </w:tc>
        <w:tc>
          <w:tcPr>
            <w:tcW w:type="dxa" w:w="3069"/>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Pembatasan yang Ditegakkan</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Lini 1</w:t>
            </w:r>
          </w:p>
        </w:tc>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Process Owner / Control Owner</w:t>
            </w:r>
          </w:p>
        </w:tc>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Menjalankan pengendalian, mengisi CSA, melaksanakan remediasi, mengunggah bukti.</w:t>
            </w:r>
          </w:p>
        </w:tc>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Tidak dapat menyetujui hasil CSA-nya sendiri; tidak dapat menjadi penguji ToE atas kontrol miliknya (BRL-001).</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Lini 2</w:t>
            </w:r>
          </w:p>
        </w:tc>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UKK ICOFR · Manajemen Risiko · Kepatuhan</w:t>
            </w:r>
          </w:p>
        </w:tc>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Memvalidasi rancangan pengendalian, mengevaluasi hasil CSA, memantau KRI, mengoordinasikan program.</w:t>
            </w:r>
          </w:p>
        </w:tc>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Tidak dapat mengubah hasil pengujian Lini 3; validasi tercatat sebagai tindakan terpisah dengan jejak audit.</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Lini 3</w:t>
            </w:r>
          </w:p>
        </w:tc>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SKAI / Internal Audit</w:t>
            </w:r>
          </w:p>
        </w:tc>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Melaksanakan ToD &amp; ToE, mengklasifikasi defisiensi, memberikan opini independen.</w:t>
            </w:r>
          </w:p>
        </w:tc>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Tidak dapat mengubah RCM maupun hasil CSA; hanya dapat menguji dan menyimpulkan.</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Lini 4</w:t>
            </w:r>
          </w:p>
        </w:tc>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Auditor Eksternal / Praktisi Asurans</w:t>
            </w:r>
          </w:p>
        </w:tc>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Membaca dokumentasi, bukti, dan kertas kerja; memberikan asurans atas atestasi manajemen.</w:t>
            </w:r>
          </w:p>
        </w:tc>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Hanya-baca, terbatas ruang lingkup, kedaluwarsa otomatis (BRL-012). Setiap akses tercatat.</w:t>
            </w:r>
          </w:p>
        </w:tc>
      </w:tr>
    </w:tbl>
    <w:p>
      <w:pPr>
        <w:spacing w:after="180" w:before="60"/>
        <w:jc w:val="left"/>
      </w:pPr>
      <w:r>
        <w:rPr>
          <w:rFonts w:ascii="Calibri" w:cs="Calibri" w:eastAsia="Calibri" w:hAnsi="Calibri"/>
          <w:i/>
          <w:iCs/>
          <w:color w:val="5C6B7E"/>
          <w:sz w:val="17"/>
          <w:szCs w:val="17"/>
        </w:rPr>
        <w:t xml:space="preserve">Tabel 2.3 — Model tiga lini diterjemahkan menjadi pembatasan sistem.</w:t>
      </w:r>
    </w:p>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3. ANALISIS KONDISI SAAT INI</w:t>
      </w:r>
    </w:p>
    <w:p>
      <w:pPr>
        <w:pStyle w:val="Heading2"/>
        <w:spacing w:after="120" w:before="260"/>
      </w:pPr>
      <w:r>
        <w:rPr>
          <w:rFonts w:ascii="Cambria" w:cs="Cambria" w:eastAsia="Cambria" w:hAnsi="Cambria"/>
          <w:b/>
          <w:bCs/>
          <w:color w:val="1B4A8A"/>
          <w:sz w:val="24"/>
          <w:szCs w:val="24"/>
        </w:rPr>
        <w:t xml:space="preserve">3.1 Cara Kerja Hari Ini</w:t>
      </w:r>
    </w:p>
    <w:p>
      <w:pPr>
        <w:spacing w:after="120" w:line="276"/>
        <w:jc w:val="both"/>
      </w:pPr>
      <w:r>
        <w:rPr>
          <w:rFonts w:ascii="Calibri" w:cs="Calibri" w:eastAsia="Calibri" w:hAnsi="Calibri"/>
          <w:color w:val="20293A"/>
          <w:sz w:val="21"/>
          <w:szCs w:val="21"/>
        </w:rPr>
        <w:t xml:space="preserve">Siklus ICOFR saat ini dijalankan dengan perangkat perkantoran umum. BPM dan RCM disusun dalam Excel dan didistribusikan sebagai lampiran surel. Formulir CSA dikirim, diisi, dan dikembalikan sebagai berkas terpisah. Bukti pengujian dikumpulkan dalam folder bersama yang penamaannya bergantung pada disiplin masing-masing penguji. Kesimpulan ToD dan ToE dicatat dalam kertas kerja yang disusun ulang setiap periode. Agregasi defisiensi dilakukan menjelang tutup buku, ketika waktu untuk remediasi sudah menipis.</w:t>
      </w:r>
    </w:p>
    <w:p>
      <w:pPr>
        <w:spacing w:after="120" w:line="276"/>
        <w:jc w:val="both"/>
      </w:pPr>
      <w:r>
        <w:rPr>
          <w:rFonts w:ascii="Calibri" w:cs="Calibri" w:eastAsia="Calibri" w:hAnsi="Calibri"/>
          <w:color w:val="20293A"/>
          <w:sz w:val="21"/>
          <w:szCs w:val="21"/>
        </w:rPr>
        <w:t xml:space="preserve">Pendekatan ini bekerja — sampai skalanya bertambah. Dengan puluhan pengendalian di delapan siklus, belasan pemilik kontrol, tiga lini yang harus berkoordinasi, dan auditor eksternal yang berhak meminta bukti apa pun kapan pun, biaya koordinasi tumbuh lebih cepat daripada jumlah pengendaliannya.</w:t>
      </w:r>
    </w:p>
    <w:p>
      <w:pPr>
        <w:spacing w:after="80"/>
      </w:pPr>
    </w:p>
    <w:p>
      <w:pPr>
        <w:spacing w:after="120" w:line="276"/>
        <w:jc w:val="both"/>
      </w:pPr>
      <w:r>
        <w:rPr>
          <w:rFonts w:ascii="Calibri" w:cs="Calibri" w:eastAsia="Calibri" w:hAnsi="Calibri"/>
          <w:b/>
          <w:bCs/>
          <w:color w:val="20293A"/>
          <w:sz w:val="21"/>
          <w:szCs w:val="21"/>
        </w:rPr>
        <w:t xml:space="preserve">Yang paling merisaukan bukan inefisiensinya, melainkan ini: ketiadaan jejak audit atas dokumentasi pengendalian internal itu sendiri merupakan defisiensi pengendalian. Bank yang tidak dapat membuktikan siapa mengubah RCM-nya, kapan, dan atas persetujuan siapa, sedang menghadapi risiko yang persis sama dengan yang hendak dikelola oleh ICOFR.</w:t>
      </w:r>
    </w:p>
    <w:p>
      <w:pPr>
        <w:pStyle w:val="Heading2"/>
        <w:spacing w:after="120" w:before="260"/>
      </w:pPr>
      <w:r>
        <w:rPr>
          <w:rFonts w:ascii="Cambria" w:cs="Cambria" w:eastAsia="Cambria" w:hAnsi="Cambria"/>
          <w:b/>
          <w:bCs/>
          <w:color w:val="1B4A8A"/>
          <w:sz w:val="24"/>
          <w:szCs w:val="24"/>
        </w:rPr>
        <w:t xml:space="preserve">3.2 Titik Nyeri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32"/>
        <w:gridCol w:w="3069"/>
        <w:gridCol w:w="3971"/>
        <w:gridCol w:w="1354"/>
      </w:tblGrid>
      <w:tr>
        <w:trPr>
          <w:tblHeader/>
        </w:trPr>
        <w:tc>
          <w:tcPr>
            <w:tcW w:type="dxa" w:w="63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ID</w:t>
            </w:r>
          </w:p>
        </w:tc>
        <w:tc>
          <w:tcPr>
            <w:tcW w:type="dxa" w:w="3069"/>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Titik Nyeri</w:t>
            </w:r>
          </w:p>
        </w:tc>
        <w:tc>
          <w:tcPr>
            <w:tcW w:type="dxa" w:w="3971"/>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Konsekuensi</w:t>
            </w:r>
          </w:p>
        </w:tc>
        <w:tc>
          <w:tcPr>
            <w:tcW w:type="dxa" w:w="1354"/>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Tingkat</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PN-01</w:t>
            </w:r>
          </w:p>
        </w:tc>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RCM &amp; BPM hidup di berkas Excel yang digandakan per divisi.</w:t>
            </w:r>
          </w:p>
        </w:tc>
        <w:tc>
          <w:tcPr>
            <w:tcW w:type="dxa" w:w="397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Tidak ada versi tunggal yang berlaku; perubahan satu divisi tidak terlihat divisi lain.</w:t>
            </w:r>
          </w:p>
        </w:tc>
        <w:tc>
          <w:tcPr>
            <w:tcW w:type="dxa" w:w="135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C0392B"/>
                <w:sz w:val="16"/>
                <w:szCs w:val="16"/>
              </w:rPr>
              <w:t xml:space="preserve">Tinggi</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PN-02</w:t>
            </w:r>
          </w:p>
        </w:tc>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Bukti pengujian tersebar di surel, folder bersama, dan komputer pribadi.</w:t>
            </w:r>
          </w:p>
        </w:tc>
        <w:tc>
          <w:tcPr>
            <w:tcW w:type="dxa" w:w="397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Permintaan bukti auditor memakan hari; sebagian bukti hilang bersama pegawai yang pindah.</w:t>
            </w:r>
          </w:p>
        </w:tc>
        <w:tc>
          <w:tcPr>
            <w:tcW w:type="dxa" w:w="135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C0392B"/>
                <w:sz w:val="16"/>
                <w:szCs w:val="16"/>
              </w:rPr>
              <w:t xml:space="preserve">Kritis</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PN-03</w:t>
            </w:r>
          </w:p>
        </w:tc>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CSA dijalankan lewat kiriman formulir Excel dan dikumpulkan via surel.</w:t>
            </w:r>
          </w:p>
        </w:tc>
        <w:tc>
          <w:tcPr>
            <w:tcW w:type="dxa" w:w="397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Tingkat respons rendah, penagihan manual, konsolidasi memakan minggu.</w:t>
            </w:r>
          </w:p>
        </w:tc>
        <w:tc>
          <w:tcPr>
            <w:tcW w:type="dxa" w:w="135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C0392B"/>
                <w:sz w:val="16"/>
                <w:szCs w:val="16"/>
              </w:rPr>
              <w:t xml:space="preserve">Tinggi</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PN-04</w:t>
            </w:r>
          </w:p>
        </w:tc>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Kesimpulan ToD/ToE tidak tertaut langsung ke bukti dan sampelnya.</w:t>
            </w:r>
          </w:p>
        </w:tc>
        <w:tc>
          <w:tcPr>
            <w:tcW w:type="dxa" w:w="397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Kesimpulan tidak dapat direplikasi; reviewer harus mempercayai, bukan memverifikasi.</w:t>
            </w:r>
          </w:p>
        </w:tc>
        <w:tc>
          <w:tcPr>
            <w:tcW w:type="dxa" w:w="135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C0392B"/>
                <w:sz w:val="16"/>
                <w:szCs w:val="16"/>
              </w:rPr>
              <w:t xml:space="preserve">Kritis</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PN-05</w:t>
            </w:r>
          </w:p>
        </w:tc>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Agregasi defisiensi lintas siklus dilakukan manual menjelang tutup buku.</w:t>
            </w:r>
          </w:p>
        </w:tc>
        <w:tc>
          <w:tcPr>
            <w:tcW w:type="dxa" w:w="397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Klasifikasi CD/SD/MW terlambat diketahui; ruang remediasi menyempit.</w:t>
            </w:r>
          </w:p>
        </w:tc>
        <w:tc>
          <w:tcPr>
            <w:tcW w:type="dxa" w:w="135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C0392B"/>
                <w:sz w:val="16"/>
                <w:szCs w:val="16"/>
              </w:rPr>
              <w:t xml:space="preserve">Kritis</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PN-06</w:t>
            </w:r>
          </w:p>
        </w:tc>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Status remediasi hanya diketahui saat rapat berkala.</w:t>
            </w:r>
          </w:p>
        </w:tc>
        <w:tc>
          <w:tcPr>
            <w:tcW w:type="dxa" w:w="397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Keterlambatan terdeteksi setelah menjadi masalah, bukan sebelumnya.</w:t>
            </w:r>
          </w:p>
        </w:tc>
        <w:tc>
          <w:tcPr>
            <w:tcW w:type="dxa" w:w="135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C0392B"/>
                <w:sz w:val="16"/>
                <w:szCs w:val="16"/>
              </w:rPr>
              <w:t xml:space="preserve">Tinggi</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PN-07</w:t>
            </w:r>
          </w:p>
        </w:tc>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Tidak ada jejak audit atas siapa mengubah pengendalian apa dan kapan.</w:t>
            </w:r>
          </w:p>
        </w:tc>
        <w:tc>
          <w:tcPr>
            <w:tcW w:type="dxa" w:w="397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Perubahan RCM tidak dapat dipertanggungjawabkan — ini sendiri merupakan defisiensi pengendalian.</w:t>
            </w:r>
          </w:p>
        </w:tc>
        <w:tc>
          <w:tcPr>
            <w:tcW w:type="dxa" w:w="135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C0392B"/>
                <w:sz w:val="16"/>
                <w:szCs w:val="16"/>
              </w:rPr>
              <w:t xml:space="preserve">Kritis</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PN-08</w:t>
            </w:r>
          </w:p>
        </w:tc>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Laporan Direksi, Komite Audit, dan OJK disusun ulang manual tiap periode.</w:t>
            </w:r>
          </w:p>
        </w:tc>
        <w:tc>
          <w:tcPr>
            <w:tcW w:type="dxa" w:w="397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Ratusan jam-orang per siklus; risiko inkonsistensi antar laporan yang bersumber data sama.</w:t>
            </w:r>
          </w:p>
        </w:tc>
        <w:tc>
          <w:tcPr>
            <w:tcW w:type="dxa" w:w="135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C0392B"/>
                <w:sz w:val="16"/>
                <w:szCs w:val="16"/>
              </w:rPr>
              <w:t xml:space="preserve">Tinggi</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PN-09</w:t>
            </w:r>
          </w:p>
        </w:tc>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ICOFR, ERM, RCSA, Kepatuhan, dan SKAI memakai control library berbeda.</w:t>
            </w:r>
          </w:p>
        </w:tc>
        <w:tc>
          <w:tcPr>
            <w:tcW w:type="dxa" w:w="397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Pengendalian yang sama diuji berkali-kali oleh fungsi berbeda; beban Process Owner berlipat.</w:t>
            </w:r>
          </w:p>
        </w:tc>
        <w:tc>
          <w:tcPr>
            <w:tcW w:type="dxa" w:w="135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C0392B"/>
                <w:sz w:val="16"/>
                <w:szCs w:val="16"/>
              </w:rPr>
              <w:t xml:space="preserve">Tinggi</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PN-10</w:t>
            </w:r>
          </w:p>
        </w:tc>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Penyusunan narasi proses, RCM, dan kertas kerja sepenuhnya manual.</w:t>
            </w:r>
          </w:p>
        </w:tc>
        <w:tc>
          <w:tcPr>
            <w:tcW w:type="dxa" w:w="397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Waktu habis untuk menulis, bukan untuk menilai.</w:t>
            </w:r>
          </w:p>
        </w:tc>
        <w:tc>
          <w:tcPr>
            <w:tcW w:type="dxa" w:w="135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C0392B"/>
                <w:sz w:val="16"/>
                <w:szCs w:val="16"/>
              </w:rPr>
              <w:t xml:space="preserve">Sedang</w:t>
            </w:r>
          </w:p>
        </w:tc>
      </w:tr>
    </w:tbl>
    <w:p>
      <w:pPr>
        <w:spacing w:after="180" w:before="60"/>
        <w:jc w:val="left"/>
      </w:pPr>
      <w:r>
        <w:rPr>
          <w:rFonts w:ascii="Calibri" w:cs="Calibri" w:eastAsia="Calibri" w:hAnsi="Calibri"/>
          <w:i/>
          <w:iCs/>
          <w:color w:val="5C6B7E"/>
          <w:sz w:val="17"/>
          <w:szCs w:val="17"/>
        </w:rPr>
        <w:t xml:space="preserve">Tabel 3.2 — Sepuluh titik nyeri operasional; empat berkategori Kritis.</w:t>
      </w:r>
    </w:p>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4. TUJUAN &amp; SASARAN BISNIS</w:t>
      </w:r>
    </w:p>
    <w:p>
      <w:pPr>
        <w:pStyle w:val="Heading2"/>
        <w:spacing w:after="120" w:before="260"/>
      </w:pPr>
      <w:r>
        <w:rPr>
          <w:rFonts w:ascii="Cambria" w:cs="Cambria" w:eastAsia="Cambria" w:hAnsi="Cambria"/>
          <w:b/>
          <w:bCs/>
          <w:color w:val="1B4A8A"/>
          <w:sz w:val="24"/>
          <w:szCs w:val="24"/>
        </w:rPr>
        <w:t xml:space="preserve">Tujuan Strategis</w:t>
      </w:r>
    </w:p>
    <w:p>
      <w:pPr>
        <w:pStyle w:val="ListParagraph"/>
        <w:numPr>
          <w:ilvl w:val="0"/>
          <w:numId w:val="2"/>
        </w:numPr>
        <w:spacing w:after="60" w:line="264"/>
        <w:jc w:val="both"/>
      </w:pPr>
      <w:r>
        <w:rPr>
          <w:rFonts w:ascii="Calibri" w:cs="Calibri" w:eastAsia="Calibri" w:hAnsi="Calibri"/>
          <w:color w:val="20293A"/>
          <w:sz w:val="21"/>
          <w:szCs w:val="21"/>
        </w:rPr>
        <w:t xml:space="preserve">Memenuhi kewajiban POJK 15/2024 secara berkelanjutan dan dapat dibuktikan — bukan hanya pada saat pemeriksaan.</w:t>
      </w:r>
    </w:p>
    <w:p>
      <w:pPr>
        <w:pStyle w:val="ListParagraph"/>
        <w:numPr>
          <w:ilvl w:val="0"/>
          <w:numId w:val="2"/>
        </w:numPr>
        <w:spacing w:after="60" w:line="264"/>
        <w:jc w:val="both"/>
      </w:pPr>
      <w:r>
        <w:rPr>
          <w:rFonts w:ascii="Calibri" w:cs="Calibri" w:eastAsia="Calibri" w:hAnsi="Calibri"/>
          <w:color w:val="20293A"/>
          <w:sz w:val="21"/>
          <w:szCs w:val="21"/>
        </w:rPr>
        <w:t xml:space="preserve">Memindahkan pengendalian internal dari berkas statis menjadi data hidup yang memiliki pemilik, versi, bukti, dan jejak audit.</w:t>
      </w:r>
    </w:p>
    <w:p>
      <w:pPr>
        <w:pStyle w:val="ListParagraph"/>
        <w:numPr>
          <w:ilvl w:val="0"/>
          <w:numId w:val="2"/>
        </w:numPr>
        <w:spacing w:after="60" w:line="264"/>
        <w:jc w:val="both"/>
      </w:pPr>
      <w:r>
        <w:rPr>
          <w:rFonts w:ascii="Calibri" w:cs="Calibri" w:eastAsia="Calibri" w:hAnsi="Calibri"/>
          <w:color w:val="20293A"/>
          <w:sz w:val="21"/>
          <w:szCs w:val="21"/>
        </w:rPr>
        <w:t xml:space="preserve">Menyatukan ICOFR, ERM, Risiko Operasional, Kepatuhan, dan Audit Internal di atas satu control library, sehingga satu pengendalian tidak diuji berulang kali oleh fungsi berbeda.</w:t>
      </w:r>
    </w:p>
    <w:p>
      <w:pPr>
        <w:pStyle w:val="ListParagraph"/>
        <w:numPr>
          <w:ilvl w:val="0"/>
          <w:numId w:val="2"/>
        </w:numPr>
        <w:spacing w:after="60" w:line="264"/>
        <w:jc w:val="both"/>
      </w:pPr>
      <w:r>
        <w:rPr>
          <w:rFonts w:ascii="Calibri" w:cs="Calibri" w:eastAsia="Calibri" w:hAnsi="Calibri"/>
          <w:color w:val="20293A"/>
          <w:sz w:val="21"/>
          <w:szCs w:val="21"/>
        </w:rPr>
        <w:t xml:space="preserve">Memangkas beban administratif pengendalian internal sehingga waktu tenaga ahli terpakai untuk menilai, bukan untuk mengetik.</w:t>
      </w:r>
    </w:p>
    <w:p>
      <w:pPr>
        <w:pStyle w:val="ListParagraph"/>
        <w:numPr>
          <w:ilvl w:val="0"/>
          <w:numId w:val="2"/>
        </w:numPr>
        <w:spacing w:after="60" w:line="264"/>
        <w:jc w:val="both"/>
      </w:pPr>
      <w:r>
        <w:rPr>
          <w:rFonts w:ascii="Calibri" w:cs="Calibri" w:eastAsia="Calibri" w:hAnsi="Calibri"/>
          <w:color w:val="20293A"/>
          <w:sz w:val="21"/>
          <w:szCs w:val="21"/>
        </w:rPr>
        <w:t xml:space="preserve">Memberi Direksi dasar yang dapat diverifikasi sebelum menandatangani atestasi yang mengikat secara hukum.</w:t>
      </w:r>
    </w:p>
    <w:p>
      <w:pPr>
        <w:spacing w:after="140"/>
      </w:pPr>
    </w:p>
    <w:p>
      <w:pPr>
        <w:pStyle w:val="Heading2"/>
        <w:spacing w:after="120" w:before="260"/>
      </w:pPr>
      <w:r>
        <w:rPr>
          <w:rFonts w:ascii="Cambria" w:cs="Cambria" w:eastAsia="Cambria" w:hAnsi="Cambria"/>
          <w:b/>
          <w:bCs/>
          <w:color w:val="1B4A8A"/>
          <w:sz w:val="24"/>
          <w:szCs w:val="24"/>
        </w:rPr>
        <w:t xml:space="preserve">Sasaran Terukur</w:t>
      </w:r>
    </w:p>
    <w:p>
      <w:pPr>
        <w:spacing w:after="120" w:line="276"/>
        <w:jc w:val="both"/>
      </w:pPr>
      <w:r>
        <w:rPr>
          <w:rFonts w:ascii="Calibri" w:cs="Calibri" w:eastAsia="Calibri" w:hAnsi="Calibri"/>
          <w:color w:val="20293A"/>
          <w:sz w:val="21"/>
          <w:szCs w:val="21"/>
        </w:rPr>
        <w:t xml:space="preserve">Sasaran dinyatakan sebagai KPI pada Bab 11 dengan kondisi awal dan target yang eksplisit. Sasaran yang tidak dapat diukur tidak dicantumkan.</w:t>
      </w:r>
    </w:p>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5. RUANG LINGKUP &amp; FASE RILIS</w:t>
      </w:r>
    </w:p>
    <w:p>
      <w:pPr>
        <w:pStyle w:val="Heading2"/>
        <w:spacing w:after="120" w:before="260"/>
      </w:pPr>
      <w:r>
        <w:rPr>
          <w:rFonts w:ascii="Cambria" w:cs="Cambria" w:eastAsia="Cambria" w:hAnsi="Cambria"/>
          <w:b/>
          <w:bCs/>
          <w:color w:val="1B4A8A"/>
          <w:sz w:val="24"/>
          <w:szCs w:val="24"/>
        </w:rPr>
        <w:t xml:space="preserve">Termasuk dalam Ruang Lingkup</w:t>
      </w:r>
    </w:p>
    <w:p>
      <w:pPr>
        <w:pStyle w:val="ListParagraph"/>
        <w:numPr>
          <w:ilvl w:val="0"/>
          <w:numId w:val="3"/>
        </w:numPr>
        <w:spacing w:after="60" w:line="264"/>
        <w:jc w:val="both"/>
      </w:pPr>
      <w:r>
        <w:rPr>
          <w:rFonts w:ascii="Calibri" w:cs="Calibri" w:eastAsia="Calibri" w:hAnsi="Calibri"/>
          <w:color w:val="20293A"/>
          <w:sz w:val="21"/>
          <w:szCs w:val="21"/>
        </w:rPr>
        <w:t xml:space="preserve">Seluruh 17 modul platform sebagaimana ditetapkan pada DOK-00 §2.2.</w:t>
      </w:r>
    </w:p>
    <w:p>
      <w:pPr>
        <w:pStyle w:val="ListParagraph"/>
        <w:numPr>
          <w:ilvl w:val="0"/>
          <w:numId w:val="3"/>
        </w:numPr>
        <w:spacing w:after="60" w:line="264"/>
        <w:jc w:val="both"/>
      </w:pPr>
      <w:r>
        <w:rPr>
          <w:rFonts w:ascii="Calibri" w:cs="Calibri" w:eastAsia="Calibri" w:hAnsi="Calibri"/>
          <w:color w:val="20293A"/>
          <w:sz w:val="21"/>
          <w:szCs w:val="21"/>
        </w:rPr>
        <w:t xml:space="preserve">Lima alur kerja end-to-end: ICOFR, ERM, Audit Internal, Kepatuhan, dan Manajemen Kebijakan.</w:t>
      </w:r>
    </w:p>
    <w:p>
      <w:pPr>
        <w:pStyle w:val="ListParagraph"/>
        <w:numPr>
          <w:ilvl w:val="0"/>
          <w:numId w:val="3"/>
        </w:numPr>
        <w:spacing w:after="60" w:line="264"/>
        <w:jc w:val="both"/>
      </w:pPr>
      <w:r>
        <w:rPr>
          <w:rFonts w:ascii="Calibri" w:cs="Calibri" w:eastAsia="Calibri" w:hAnsi="Calibri"/>
          <w:color w:val="20293A"/>
          <w:sz w:val="21"/>
          <w:szCs w:val="21"/>
        </w:rPr>
        <w:t xml:space="preserve">Integrasi dengan direktori identitas Bank (SSO), Core Banking (data transaksi &amp; populasi sampel), dan General Ledger (saldo akun untuk penetapan materialitas).</w:t>
      </w:r>
    </w:p>
    <w:p>
      <w:pPr>
        <w:pStyle w:val="ListParagraph"/>
        <w:numPr>
          <w:ilvl w:val="0"/>
          <w:numId w:val="3"/>
        </w:numPr>
        <w:spacing w:after="60" w:line="264"/>
        <w:jc w:val="both"/>
      </w:pPr>
      <w:r>
        <w:rPr>
          <w:rFonts w:ascii="Calibri" w:cs="Calibri" w:eastAsia="Calibri" w:hAnsi="Calibri"/>
          <w:color w:val="20293A"/>
          <w:sz w:val="21"/>
          <w:szCs w:val="21"/>
        </w:rPr>
        <w:t xml:space="preserve">Migrasi data ICOFR eksisting: akun signifikan, BPM, RCM, ELC, ITGC, dan register risiko.</w:t>
      </w:r>
    </w:p>
    <w:p>
      <w:pPr>
        <w:pStyle w:val="Heading2"/>
        <w:spacing w:after="120" w:before="260"/>
      </w:pPr>
      <w:r>
        <w:rPr>
          <w:rFonts w:ascii="Cambria" w:cs="Cambria" w:eastAsia="Cambria" w:hAnsi="Cambria"/>
          <w:b/>
          <w:bCs/>
          <w:color w:val="1B4A8A"/>
          <w:sz w:val="24"/>
          <w:szCs w:val="24"/>
        </w:rPr>
        <w:t xml:space="preserve">Di Luar Ruang Lingkup Rilis Pertama</w:t>
      </w:r>
    </w:p>
    <w:p>
      <w:pPr>
        <w:pStyle w:val="ListParagraph"/>
        <w:numPr>
          <w:ilvl w:val="0"/>
          <w:numId w:val="3"/>
        </w:numPr>
        <w:spacing w:after="60" w:line="264"/>
        <w:jc w:val="both"/>
      </w:pPr>
      <w:r>
        <w:rPr>
          <w:rFonts w:ascii="Calibri" w:cs="Calibri" w:eastAsia="Calibri" w:hAnsi="Calibri"/>
          <w:color w:val="20293A"/>
          <w:sz w:val="21"/>
          <w:szCs w:val="21"/>
        </w:rPr>
        <w:t xml:space="preserve">Multi-tenant (melayani lebih dari satu entitas bank dalam satu instans).</w:t>
      </w:r>
    </w:p>
    <w:p>
      <w:pPr>
        <w:pStyle w:val="ListParagraph"/>
        <w:numPr>
          <w:ilvl w:val="0"/>
          <w:numId w:val="3"/>
        </w:numPr>
        <w:spacing w:after="60" w:line="264"/>
        <w:jc w:val="both"/>
      </w:pPr>
      <w:r>
        <w:rPr>
          <w:rFonts w:ascii="Calibri" w:cs="Calibri" w:eastAsia="Calibri" w:hAnsi="Calibri"/>
          <w:color w:val="20293A"/>
          <w:sz w:val="21"/>
          <w:szCs w:val="21"/>
        </w:rPr>
        <w:t xml:space="preserve">Konsolidasi ICOFR lintas entitas anak perusahaan.</w:t>
      </w:r>
    </w:p>
    <w:p>
      <w:pPr>
        <w:pStyle w:val="ListParagraph"/>
        <w:numPr>
          <w:ilvl w:val="0"/>
          <w:numId w:val="3"/>
        </w:numPr>
        <w:spacing w:after="60" w:line="264"/>
        <w:jc w:val="both"/>
      </w:pPr>
      <w:r>
        <w:rPr>
          <w:rFonts w:ascii="Calibri" w:cs="Calibri" w:eastAsia="Calibri" w:hAnsi="Calibri"/>
          <w:color w:val="20293A"/>
          <w:sz w:val="21"/>
          <w:szCs w:val="21"/>
        </w:rPr>
        <w:t xml:space="preserve">Penggantian sistem Core Banking, General Ledger, atau sistem HR yang ada.</w:t>
      </w:r>
    </w:p>
    <w:p>
      <w:pPr>
        <w:pStyle w:val="ListParagraph"/>
        <w:numPr>
          <w:ilvl w:val="0"/>
          <w:numId w:val="3"/>
        </w:numPr>
        <w:spacing w:after="60" w:line="264"/>
        <w:jc w:val="both"/>
      </w:pPr>
      <w:r>
        <w:rPr>
          <w:rFonts w:ascii="Calibri" w:cs="Calibri" w:eastAsia="Calibri" w:hAnsi="Calibri"/>
          <w:color w:val="20293A"/>
          <w:sz w:val="21"/>
          <w:szCs w:val="21"/>
        </w:rPr>
        <w:t xml:space="preserve">Pelatihan e-learning berbasis SCORM (acknowledgement kebijakan tetap termasuk; modul pelatihan penuh tidak).</w:t>
      </w:r>
    </w:p>
    <w:p>
      <w:pPr>
        <w:spacing w:after="140"/>
      </w:pPr>
    </w:p>
    <w:p>
      <w:pPr>
        <w:pStyle w:val="Heading2"/>
        <w:spacing w:after="120" w:before="260"/>
      </w:pPr>
      <w:r>
        <w:rPr>
          <w:rFonts w:ascii="Cambria" w:cs="Cambria" w:eastAsia="Cambria" w:hAnsi="Cambria"/>
          <w:b/>
          <w:bCs/>
          <w:color w:val="1B4A8A"/>
          <w:sz w:val="24"/>
          <w:szCs w:val="24"/>
        </w:rPr>
        <w:t xml:space="preserve">Fase Rilis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6"/>
        <w:gridCol w:w="3971"/>
        <w:gridCol w:w="3069"/>
      </w:tblGrid>
      <w:tr>
        <w:trPr>
          <w:tblHeader/>
        </w:trPr>
        <w:tc>
          <w:tcPr>
            <w:tcW w:type="dxa" w:w="198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Fase</w:t>
            </w:r>
          </w:p>
        </w:tc>
        <w:tc>
          <w:tcPr>
            <w:tcW w:type="dxa" w:w="3971"/>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Cakupan</w:t>
            </w:r>
          </w:p>
        </w:tc>
        <w:tc>
          <w:tcPr>
            <w:tcW w:type="dxa" w:w="3069"/>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Kriteria Keluar</w:t>
            </w:r>
          </w:p>
        </w:tc>
      </w:tr>
      <w:tr>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Rilis 1 — Fondasi ICOFR</w:t>
            </w:r>
          </w:p>
        </w:tc>
        <w:tc>
          <w:tcPr>
            <w:tcW w:type="dxa" w:w="397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DSH, GOV, ICF, DMS, ADM, RPT (laporan OJK &amp; Direksi), AIA (generator BPM/RCM &amp; chat dokumen).</w:t>
            </w:r>
          </w:p>
        </w:tc>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Satu siklus ICOFR penuh dapat dijalankan end-to-end tanpa keluar ke Excel (AC-02).</w:t>
            </w:r>
          </w:p>
        </w:tc>
      </w:tr>
      <w:tr>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Rilis 2 — Risiko Terpadu</w:t>
            </w:r>
          </w:p>
        </w:tc>
        <w:tc>
          <w:tcPr>
            <w:tcW w:type="dxa" w:w="397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ERM, ORM, KRI, LED, INC, IAD.</w:t>
            </w:r>
          </w:p>
        </w:tc>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Risiko residual terhitung dari efektivitas pengendalian yang benar-benar diuji (BR-029).</w:t>
            </w:r>
          </w:p>
        </w:tc>
      </w:tr>
      <w:tr>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Rilis 3 — Kepatuhan &amp; TI</w:t>
            </w:r>
          </w:p>
        </w:tc>
        <w:tc>
          <w:tcPr>
            <w:tcW w:type="dxa" w:w="397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CMP, POL, ITG, ITA; integrasi otomatis bukti ITGC.</w:t>
            </w:r>
          </w:p>
        </w:tc>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Setiap kewajiban regulasi tertaut ke pengendalian dan buktinya (BR-038).</w:t>
            </w:r>
          </w:p>
        </w:tc>
      </w:tr>
      <w:tr>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Rilis 4 — Pematangan</w:t>
            </w:r>
          </w:p>
        </w:tc>
        <w:tc>
          <w:tcPr>
            <w:tcW w:type="dxa" w:w="397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Predictive risk, AI insight lanjutan, analitik lintas modul, PWA offline.</w:t>
            </w:r>
          </w:p>
        </w:tc>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Adopsi ≥ 90% pengguna aktif bulanan; seluruh KPI Bab 11 tercapai.</w:t>
            </w:r>
          </w:p>
        </w:tc>
      </w:tr>
    </w:tbl>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6. PEMANGKU KEPENTINGAN &amp; PERSONA</w:t>
      </w:r>
    </w:p>
    <w:p>
      <w:pPr>
        <w:pStyle w:val="Heading2"/>
        <w:spacing w:after="120" w:before="260"/>
      </w:pPr>
      <w:r>
        <w:rPr>
          <w:rFonts w:ascii="Cambria" w:cs="Cambria" w:eastAsia="Cambria" w:hAnsi="Cambria"/>
          <w:b/>
          <w:bCs/>
          <w:color w:val="1B4A8A"/>
          <w:sz w:val="24"/>
          <w:szCs w:val="24"/>
        </w:rPr>
        <w:t xml:space="preserve">6.1 Persona Pengguna Utama</w:t>
      </w:r>
    </w:p>
    <w:p>
      <w:pPr>
        <w:spacing w:after="120" w:line="276"/>
        <w:jc w:val="both"/>
      </w:pPr>
      <w:r>
        <w:rPr>
          <w:rFonts w:ascii="Calibri" w:cs="Calibri" w:eastAsia="Calibri" w:hAnsi="Calibri"/>
          <w:color w:val="20293A"/>
          <w:sz w:val="21"/>
          <w:szCs w:val="21"/>
        </w:rPr>
        <w:t xml:space="preserve">Delapan persona berikut mewakili kelompok pengguna yang kebutuhannya berbeda secara mendasar — bukan sekadar berbeda hak akses. Rancangan antarmuka pada DOK-17 wajib menjawab kolom "Sukses Berarti" untuk setiap persona.</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6860"/>
      </w:tblGrid>
      <w:tr>
        <w:trPr>
          <w:tblHeader/>
        </w:trPr>
        <w:tc>
          <w:tcPr>
            <w:tcW w:type="dxa" w:w="216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PS-01 · Direktur Utama &amp; Direktur Keuangan</w:t>
            </w:r>
          </w:p>
        </w:tc>
        <w:tc>
          <w:tcPr>
            <w:tcW w:type="dxa" w:w="6860"/>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center"/>
            </w:pPr>
            <w:r>
              <w:rPr>
                <w:rFonts w:ascii="Calibri" w:cs="Calibri" w:eastAsia="Calibri" w:hAnsi="Calibri"/>
                <w:b/>
                <w:bCs/>
                <w:color w:val="FFFFFF"/>
                <w:sz w:val="17"/>
                <w:szCs w:val="17"/>
              </w:rPr>
              <w:t xml:space="preserve">Penanda Tangan Atestasi</w:t>
            </w:r>
          </w:p>
        </w:tc>
      </w:tr>
      <w:tr>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Kondisi hari ini</w:t>
            </w:r>
          </w:p>
        </w:tc>
        <w:tc>
          <w:tcPr>
            <w:tcW w:type="dxa" w:w="686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Butuh keyakinan memadai — bukan tumpukan kertas — sebelum menandatangani atestasi efektivitas ICOFR yang mengikat secara hukum.</w:t>
            </w:r>
          </w:p>
        </w:tc>
      </w:tr>
      <w:tr>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Sukses berarti</w:t>
            </w:r>
          </w:p>
        </w:tc>
        <w:tc>
          <w:tcPr>
            <w:tcW w:type="dxa" w:w="686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Dasbor satu layar: skor ICOFR, MW/SD terbuka, kontrol belum diuji, remediasi terlambat. Tanda tangan digital dari ponsel.</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6860"/>
      </w:tblGrid>
      <w:tr>
        <w:trPr>
          <w:tblHeader/>
        </w:trPr>
        <w:tc>
          <w:tcPr>
            <w:tcW w:type="dxa" w:w="216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PS-02 · Ketua UKK ICOFR</w:t>
            </w:r>
          </w:p>
        </w:tc>
        <w:tc>
          <w:tcPr>
            <w:tcW w:type="dxa" w:w="6860"/>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center"/>
            </w:pPr>
            <w:r>
              <w:rPr>
                <w:rFonts w:ascii="Calibri" w:cs="Calibri" w:eastAsia="Calibri" w:hAnsi="Calibri"/>
                <w:b/>
                <w:bCs/>
                <w:color w:val="FFFFFF"/>
                <w:sz w:val="17"/>
                <w:szCs w:val="17"/>
              </w:rPr>
              <w:t xml:space="preserve">Koordinator Program (Lini 2)</w:t>
            </w:r>
          </w:p>
        </w:tc>
      </w:tr>
      <w:tr>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Kondisi hari ini</w:t>
            </w:r>
          </w:p>
        </w:tc>
        <w:tc>
          <w:tcPr>
            <w:tcW w:type="dxa" w:w="686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Memastikan puluhan pengendalian di 8 siklus diuji tepat waktu oleh orang di divisi berbeda, tanpa kewenangan lini langsung atas mereka.</w:t>
            </w:r>
          </w:p>
        </w:tc>
      </w:tr>
      <w:tr>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Sukses berarti</w:t>
            </w:r>
          </w:p>
        </w:tc>
        <w:tc>
          <w:tcPr>
            <w:tcW w:type="dxa" w:w="686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Papan kendali penugasan, SLA, eskalasi otomatis, dan pandangan menyeluruh kemajuan per siklus &amp; per pemilik.</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6860"/>
      </w:tblGrid>
      <w:tr>
        <w:trPr>
          <w:tblHeader/>
        </w:trPr>
        <w:tc>
          <w:tcPr>
            <w:tcW w:type="dxa" w:w="216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PS-03 · Process Owner (Kadiv Kredit, Akuntansi, Treasury)</w:t>
            </w:r>
          </w:p>
        </w:tc>
        <w:tc>
          <w:tcPr>
            <w:tcW w:type="dxa" w:w="6860"/>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center"/>
            </w:pPr>
            <w:r>
              <w:rPr>
                <w:rFonts w:ascii="Calibri" w:cs="Calibri" w:eastAsia="Calibri" w:hAnsi="Calibri"/>
                <w:b/>
                <w:bCs/>
                <w:color w:val="FFFFFF"/>
                <w:sz w:val="17"/>
                <w:szCs w:val="17"/>
              </w:rPr>
              <w:t xml:space="preserve">Pemilik Pengendalian (Lini 1)</w:t>
            </w:r>
          </w:p>
        </w:tc>
      </w:tr>
      <w:tr>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Kondisi hari ini</w:t>
            </w:r>
          </w:p>
        </w:tc>
        <w:tc>
          <w:tcPr>
            <w:tcW w:type="dxa" w:w="686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Menjalankan CSA sebagai tugas tambahan. Formulir Excel panjang dan tidak jelas mana yang berubah dari tahun lalu.</w:t>
            </w:r>
          </w:p>
        </w:tc>
      </w:tr>
      <w:tr>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Sukses berarti</w:t>
            </w:r>
          </w:p>
        </w:tc>
        <w:tc>
          <w:tcPr>
            <w:tcW w:type="dxa" w:w="686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CSA di ponsel, hanya kontrol miliknya, pra-isi dari periode lalu, unggah bukti dari kamera, jelas apa yang berubah.</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6860"/>
      </w:tblGrid>
      <w:tr>
        <w:trPr>
          <w:tblHeader/>
        </w:trPr>
        <w:tc>
          <w:tcPr>
            <w:tcW w:type="dxa" w:w="216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PS-04 · Analis Manajemen Risiko</w:t>
            </w:r>
          </w:p>
        </w:tc>
        <w:tc>
          <w:tcPr>
            <w:tcW w:type="dxa" w:w="6860"/>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center"/>
            </w:pPr>
            <w:r>
              <w:rPr>
                <w:rFonts w:ascii="Calibri" w:cs="Calibri" w:eastAsia="Calibri" w:hAnsi="Calibri"/>
                <w:b/>
                <w:bCs/>
                <w:color w:val="FFFFFF"/>
                <w:sz w:val="17"/>
                <w:szCs w:val="17"/>
              </w:rPr>
              <w:t xml:space="preserve">Validator Rancangan (Lini 2)</w:t>
            </w:r>
          </w:p>
        </w:tc>
      </w:tr>
      <w:tr>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Kondisi hari ini</w:t>
            </w:r>
          </w:p>
        </w:tc>
        <w:tc>
          <w:tcPr>
            <w:tcW w:type="dxa" w:w="686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Memvalidasi rancangan pengendalian dan mengevaluasi hasil CSA, tetapi bukti dan konteks tersebar di banyak tempat.</w:t>
            </w:r>
          </w:p>
        </w:tc>
      </w:tr>
      <w:tr>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Sukses berarti</w:t>
            </w:r>
          </w:p>
        </w:tc>
        <w:tc>
          <w:tcPr>
            <w:tcW w:type="dxa" w:w="686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Satu layar per kontrol: risiko, asersi, bukti CSA, riwayat pengujian, defisiensi historis, kontrol kompensasi.</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6860"/>
      </w:tblGrid>
      <w:tr>
        <w:trPr>
          <w:tblHeader/>
        </w:trPr>
        <w:tc>
          <w:tcPr>
            <w:tcW w:type="dxa" w:w="216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PS-05 · Auditor Internal / SKAI</w:t>
            </w:r>
          </w:p>
        </w:tc>
        <w:tc>
          <w:tcPr>
            <w:tcW w:type="dxa" w:w="6860"/>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center"/>
            </w:pPr>
            <w:r>
              <w:rPr>
                <w:rFonts w:ascii="Calibri" w:cs="Calibri" w:eastAsia="Calibri" w:hAnsi="Calibri"/>
                <w:b/>
                <w:bCs/>
                <w:color w:val="FFFFFF"/>
                <w:sz w:val="17"/>
                <w:szCs w:val="17"/>
              </w:rPr>
              <w:t xml:space="preserve">Penguji Independen (Lini 3)</w:t>
            </w:r>
          </w:p>
        </w:tc>
      </w:tr>
      <w:tr>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Kondisi hari ini</w:t>
            </w:r>
          </w:p>
        </w:tc>
        <w:tc>
          <w:tcPr>
            <w:tcW w:type="dxa" w:w="686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Melaksanakan ToD &amp; ToE, namun lebih banyak waktu habis menyusun kertas kerja daripada menguji.</w:t>
            </w:r>
          </w:p>
        </w:tc>
      </w:tr>
      <w:tr>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Sukses berarti</w:t>
            </w:r>
          </w:p>
        </w:tc>
        <w:tc>
          <w:tcPr>
            <w:tcW w:type="dxa" w:w="686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Kertas kerja terbangkit dari RCM, sampling terhitung sistem, hasil uji terekam langsung, temuan otomatis membuka CAPA.</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6860"/>
      </w:tblGrid>
      <w:tr>
        <w:trPr>
          <w:tblHeader/>
        </w:trPr>
        <w:tc>
          <w:tcPr>
            <w:tcW w:type="dxa" w:w="216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PS-06 · Petugas Kepatuhan</w:t>
            </w:r>
          </w:p>
        </w:tc>
        <w:tc>
          <w:tcPr>
            <w:tcW w:type="dxa" w:w="6860"/>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center"/>
            </w:pPr>
            <w:r>
              <w:rPr>
                <w:rFonts w:ascii="Calibri" w:cs="Calibri" w:eastAsia="Calibri" w:hAnsi="Calibri"/>
                <w:b/>
                <w:bCs/>
                <w:color w:val="FFFFFF"/>
                <w:sz w:val="17"/>
                <w:szCs w:val="17"/>
              </w:rPr>
              <w:t xml:space="preserve">Pemantau Kewajiban Regulasi</w:t>
            </w:r>
          </w:p>
        </w:tc>
      </w:tr>
      <w:tr>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Kondisi hari ini</w:t>
            </w:r>
          </w:p>
        </w:tc>
        <w:tc>
          <w:tcPr>
            <w:tcW w:type="dxa" w:w="686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Memetakan ratusan kewajiban POJK/BI/OJK ke pengendalian yang ada dan membuktikan tidak ada yang terlewat.</w:t>
            </w:r>
          </w:p>
        </w:tc>
      </w:tr>
      <w:tr>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Sukses berarti</w:t>
            </w:r>
          </w:p>
        </w:tc>
        <w:tc>
          <w:tcPr>
            <w:tcW w:type="dxa" w:w="686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Regulation library dengan pemetaan kewajiban → pengendalian → bukti; kalender kepatuhan dengan peringatan dini.</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6860"/>
      </w:tblGrid>
      <w:tr>
        <w:trPr>
          <w:tblHeader/>
        </w:trPr>
        <w:tc>
          <w:tcPr>
            <w:tcW w:type="dxa" w:w="216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PS-07 · Administrator TI</w:t>
            </w:r>
          </w:p>
        </w:tc>
        <w:tc>
          <w:tcPr>
            <w:tcW w:type="dxa" w:w="6860"/>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center"/>
            </w:pPr>
            <w:r>
              <w:rPr>
                <w:rFonts w:ascii="Calibri" w:cs="Calibri" w:eastAsia="Calibri" w:hAnsi="Calibri"/>
                <w:b/>
                <w:bCs/>
                <w:color w:val="FFFFFF"/>
                <w:sz w:val="17"/>
                <w:szCs w:val="17"/>
              </w:rPr>
              <w:t xml:space="preserve">Pengelola ITGC &amp; Platform</w:t>
            </w:r>
          </w:p>
        </w:tc>
      </w:tr>
      <w:tr>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Kondisi hari ini</w:t>
            </w:r>
          </w:p>
        </w:tc>
        <w:tc>
          <w:tcPr>
            <w:tcW w:type="dxa" w:w="686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Bertanggung jawab atas ITGC (akses, perubahan, backup, patch) sekaligus mengelola platform GRC itu sendiri.</w:t>
            </w:r>
          </w:p>
        </w:tc>
      </w:tr>
      <w:tr>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Sukses berarti</w:t>
            </w:r>
          </w:p>
        </w:tc>
        <w:tc>
          <w:tcPr>
            <w:tcW w:type="dxa" w:w="686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Konfigurasi RBAC/ABAC, integrasi Core Banking &amp; direktori identitas, dan bukti ITGC yang tertarik otomatis dari sistem sumber.</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6860"/>
      </w:tblGrid>
      <w:tr>
        <w:trPr>
          <w:tblHeader/>
        </w:trPr>
        <w:tc>
          <w:tcPr>
            <w:tcW w:type="dxa" w:w="216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PS-08 · Auditor Eksternal / Praktisi Asurans</w:t>
            </w:r>
          </w:p>
        </w:tc>
        <w:tc>
          <w:tcPr>
            <w:tcW w:type="dxa" w:w="6860"/>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center"/>
            </w:pPr>
            <w:r>
              <w:rPr>
                <w:rFonts w:ascii="Calibri" w:cs="Calibri" w:eastAsia="Calibri" w:hAnsi="Calibri"/>
                <w:b/>
                <w:bCs/>
                <w:color w:val="FFFFFF"/>
                <w:sz w:val="17"/>
                <w:szCs w:val="17"/>
              </w:rPr>
              <w:t xml:space="preserve">Pemberi Opini (Lini 4)</w:t>
            </w:r>
          </w:p>
        </w:tc>
      </w:tr>
      <w:tr>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Kondisi hari ini</w:t>
            </w:r>
          </w:p>
        </w:tc>
        <w:tc>
          <w:tcPr>
            <w:tcW w:type="dxa" w:w="686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Membutuhkan akses baca atas dokumentasi, bukti, dan kertas kerja tanpa mengganggu operasional Bank.</w:t>
            </w:r>
          </w:p>
        </w:tc>
      </w:tr>
      <w:tr>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Sukses berarti</w:t>
            </w:r>
          </w:p>
        </w:tc>
        <w:tc>
          <w:tcPr>
            <w:tcW w:type="dxa" w:w="686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Portal hanya-baca, terbatas waktu, terkurasi per ruang lingkup, dengan jejak audit atas setiap dokumen yang dibuka.</w:t>
            </w:r>
          </w:p>
        </w:tc>
      </w:tr>
    </w:tbl>
    <w:p>
      <w:pPr>
        <w:spacing w:after="180" w:before="60"/>
        <w:jc w:val="left"/>
      </w:pPr>
      <w:r>
        <w:rPr>
          <w:rFonts w:ascii="Calibri" w:cs="Calibri" w:eastAsia="Calibri" w:hAnsi="Calibri"/>
          <w:i/>
          <w:iCs/>
          <w:color w:val="5C6B7E"/>
          <w:sz w:val="17"/>
          <w:szCs w:val="17"/>
        </w:rPr>
        <w:t xml:space="preserve">Tabel 6.1 — Delapan persona pengguna utama.</w:t>
      </w:r>
    </w:p>
    <w:p>
      <w:pPr>
        <w:pStyle w:val="Heading2"/>
        <w:spacing w:after="120" w:before="260"/>
      </w:pPr>
      <w:r>
        <w:rPr>
          <w:rFonts w:ascii="Cambria" w:cs="Cambria" w:eastAsia="Cambria" w:hAnsi="Cambria"/>
          <w:b/>
          <w:bCs/>
          <w:color w:val="1B4A8A"/>
          <w:sz w:val="24"/>
          <w:szCs w:val="24"/>
        </w:rPr>
        <w:t xml:space="preserve">6.2 Katalog Peran Sistem</w:t>
      </w:r>
    </w:p>
    <w:p>
      <w:pPr>
        <w:spacing w:after="120" w:line="276"/>
        <w:jc w:val="both"/>
      </w:pPr>
      <w:r>
        <w:rPr>
          <w:rFonts w:ascii="Calibri" w:cs="Calibri" w:eastAsia="Calibri" w:hAnsi="Calibri"/>
          <w:color w:val="20293A"/>
          <w:sz w:val="21"/>
          <w:szCs w:val="21"/>
        </w:rPr>
        <w:t xml:space="preserve">Peran dikelompokkan mengikuti model tiga lini. Rincian hak akses per peran per objek ditetapkan pada DOK-20 (Role Permission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4"/>
        <w:gridCol w:w="3971"/>
        <w:gridCol w:w="3791"/>
      </w:tblGrid>
      <w:tr>
        <w:trPr>
          <w:tblHeader/>
        </w:trPr>
        <w:tc>
          <w:tcPr>
            <w:tcW w:type="dxa" w:w="1264"/>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Kelompok</w:t>
            </w:r>
          </w:p>
        </w:tc>
        <w:tc>
          <w:tcPr>
            <w:tcW w:type="dxa" w:w="3971"/>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Peran</w:t>
            </w:r>
          </w:p>
        </w:tc>
        <w:tc>
          <w:tcPr>
            <w:tcW w:type="dxa" w:w="3791"/>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Kewenangan Inti</w:t>
            </w:r>
          </w:p>
        </w:tc>
      </w:tr>
      <w:tr>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Sistem</w:t>
            </w:r>
          </w:p>
        </w:tc>
        <w:tc>
          <w:tcPr>
            <w:tcW w:type="dxa" w:w="397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Super Admin · Application Admin · Security Admin · User Admin · Master Data Admin · Integration Admin · AI Admin</w:t>
            </w:r>
          </w:p>
        </w:tc>
        <w:tc>
          <w:tcPr>
            <w:tcW w:type="dxa" w:w="379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Konfigurasi, keamanan, integrasi. Tidak memiliki akses mengubah data pengujian.</w:t>
            </w:r>
          </w:p>
        </w:tc>
      </w:tr>
      <w:tr>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Eksekutif</w:t>
            </w:r>
          </w:p>
        </w:tc>
        <w:tc>
          <w:tcPr>
            <w:tcW w:type="dxa" w:w="397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Dewan Komisaris · Komite Audit · Direktur Utama · Direktur · CFO · CRO · CCO · CIO · Chief Audit Executive</w:t>
            </w:r>
          </w:p>
        </w:tc>
        <w:tc>
          <w:tcPr>
            <w:tcW w:type="dxa" w:w="379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Pengawasan, persetujuan, dan atestasi. Akses baca menyeluruh + wewenang tanda tangan.</w:t>
            </w:r>
          </w:p>
        </w:tc>
      </w:tr>
      <w:tr>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ICOFR</w:t>
            </w:r>
          </w:p>
        </w:tc>
        <w:tc>
          <w:tcPr>
            <w:tcW w:type="dxa" w:w="397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ICOFR Program Director · UKK ICOFR · ICOFR PMO · Coordinator · Reviewer · Approver</w:t>
            </w:r>
          </w:p>
        </w:tc>
        <w:tc>
          <w:tcPr>
            <w:tcW w:type="dxa" w:w="379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Koordinasi program, validasi Lini 2, dan persetujuan RCM.</w:t>
            </w:r>
          </w:p>
        </w:tc>
      </w:tr>
      <w:tr>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Lini Pertama</w:t>
            </w:r>
          </w:p>
        </w:tc>
        <w:tc>
          <w:tcPr>
            <w:tcW w:type="dxa" w:w="397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Division Head · Department Head · Unit Head · Process Owner · Control Owner · Risk Owner · Business User</w:t>
            </w:r>
          </w:p>
        </w:tc>
        <w:tc>
          <w:tcPr>
            <w:tcW w:type="dxa" w:w="379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Menjalankan pengendalian, mengisi CSA, melaksanakan remediasi.</w:t>
            </w:r>
          </w:p>
        </w:tc>
      </w:tr>
      <w:tr>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Lini Kedua</w:t>
            </w:r>
          </w:p>
        </w:tc>
        <w:tc>
          <w:tcPr>
            <w:tcW w:type="dxa" w:w="397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Risk Management · Compliance · Finance · Accounting · Operational Risk · IT Risk · IT Security</w:t>
            </w:r>
          </w:p>
        </w:tc>
        <w:tc>
          <w:tcPr>
            <w:tcW w:type="dxa" w:w="379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Memvalidasi rancangan, mengevaluasi CSA, memantau KRI.</w:t>
            </w:r>
          </w:p>
        </w:tc>
      </w:tr>
      <w:tr>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Lini Ketiga</w:t>
            </w:r>
          </w:p>
        </w:tc>
        <w:tc>
          <w:tcPr>
            <w:tcW w:type="dxa" w:w="397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Internal Audit · Audit Supervisor · Audit Manager · Audit Director</w:t>
            </w:r>
          </w:p>
        </w:tc>
        <w:tc>
          <w:tcPr>
            <w:tcW w:type="dxa" w:w="379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Pengujian independen (ToD/ToE), audit berbasis risiko, opini.</w:t>
            </w:r>
          </w:p>
        </w:tc>
      </w:tr>
      <w:tr>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Eksternal</w:t>
            </w:r>
          </w:p>
        </w:tc>
        <w:tc>
          <w:tcPr>
            <w:tcW w:type="dxa" w:w="397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External Auditor · Regulator · Consultant · Read Only User</w:t>
            </w:r>
          </w:p>
        </w:tc>
        <w:tc>
          <w:tcPr>
            <w:tcW w:type="dxa" w:w="379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Akses hanya-baca, terbatas ruang lingkup dan waktu (BRL-012).</w:t>
            </w:r>
          </w:p>
        </w:tc>
      </w:tr>
    </w:tbl>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7. PROSES BISNIS TARGET</w:t>
      </w:r>
    </w:p>
    <w:p>
      <w:pPr>
        <w:pStyle w:val="Heading2"/>
        <w:spacing w:after="120" w:before="260"/>
      </w:pPr>
      <w:r>
        <w:rPr>
          <w:rFonts w:ascii="Cambria" w:cs="Cambria" w:eastAsia="Cambria" w:hAnsi="Cambria"/>
          <w:b/>
          <w:bCs/>
          <w:color w:val="1B4A8A"/>
          <w:sz w:val="24"/>
          <w:szCs w:val="24"/>
        </w:rPr>
        <w:t xml:space="preserve">7.1 Alur Utama ICOFR</w:t>
      </w:r>
    </w:p>
    <w:p>
      <w:pPr>
        <w:spacing w:after="120" w:line="276"/>
        <w:jc w:val="both"/>
      </w:pPr>
      <w:r>
        <w:rPr>
          <w:rFonts w:ascii="Calibri" w:cs="Calibri" w:eastAsia="Calibri" w:hAnsi="Calibri"/>
          <w:color w:val="20293A"/>
          <w:sz w:val="21"/>
          <w:szCs w:val="21"/>
        </w:rPr>
        <w:t xml:space="preserve">Enam belas langkah berikut merupakan alur kerja inti platform. Setiap langkah memiliki pelaksana, penyetuju/validator, dan keluaran yang jelas. Perpindahan antar langkah dipicu sistem, bukan oleh pengingat manual.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2"/>
        <w:gridCol w:w="2527"/>
        <w:gridCol w:w="1986"/>
        <w:gridCol w:w="1805"/>
        <w:gridCol w:w="2166"/>
      </w:tblGrid>
      <w:tr>
        <w:trPr>
          <w:tblHeader/>
        </w:trPr>
        <w:tc>
          <w:tcPr>
            <w:tcW w:type="dxa" w:w="54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No</w:t>
            </w:r>
          </w:p>
        </w:tc>
        <w:tc>
          <w:tcPr>
            <w:tcW w:type="dxa" w:w="2527"/>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Langkah</w:t>
            </w:r>
          </w:p>
        </w:tc>
        <w:tc>
          <w:tcPr>
            <w:tcW w:type="dxa" w:w="198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Pelaksana</w:t>
            </w:r>
          </w:p>
        </w:tc>
        <w:tc>
          <w:tcPr>
            <w:tcW w:type="dxa" w:w="1805"/>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Validator / Penyetuju</w:t>
            </w:r>
          </w:p>
        </w:tc>
        <w:tc>
          <w:tcPr>
            <w:tcW w:type="dxa" w:w="216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Keluaran</w:t>
            </w:r>
          </w:p>
        </w:tc>
      </w:tr>
      <w:tr>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1</w:t>
            </w:r>
          </w:p>
        </w:tc>
        <w:tc>
          <w:tcPr>
            <w:tcW w:type="dxa" w:w="252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Penetapan Materialitas (OM &amp; PM)</w:t>
            </w:r>
          </w:p>
        </w:tc>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Divisi Akuntansi</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UKK ICOFR</w:t>
            </w:r>
          </w:p>
        </w:tc>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Nilai OM/PM + rasionalisasi tolok ukur</w:t>
            </w:r>
          </w:p>
        </w:tc>
      </w:tr>
      <w:tr>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2</w:t>
            </w:r>
          </w:p>
        </w:tc>
        <w:tc>
          <w:tcPr>
            <w:tcW w:type="dxa" w:w="252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Penetapan Akun &amp; Pengungkapan Signifikan</w:t>
            </w:r>
          </w:p>
        </w:tc>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Divisi Akuntansi</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UKK ICOFR</w:t>
            </w:r>
          </w:p>
        </w:tc>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Daftar akun in-scope + rasionalisasi kuantitatif &amp; kualitatif</w:t>
            </w:r>
          </w:p>
        </w:tc>
      </w:tr>
      <w:tr>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3</w:t>
            </w:r>
          </w:p>
        </w:tc>
        <w:tc>
          <w:tcPr>
            <w:tcW w:type="dxa" w:w="252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Pemetaan Asersi &amp; Proses Signifikan</w:t>
            </w:r>
          </w:p>
        </w:tc>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UKK ICOFR</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Manajemen Risiko</w:t>
            </w:r>
          </w:p>
        </w:tc>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Matriks akun × asersi × proses × aplikasi</w:t>
            </w:r>
          </w:p>
        </w:tc>
      </w:tr>
      <w:tr>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4</w:t>
            </w:r>
          </w:p>
        </w:tc>
        <w:tc>
          <w:tcPr>
            <w:tcW w:type="dxa" w:w="252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Penyusunan BPM (narasi, flowchart, BPMN)</w:t>
            </w:r>
          </w:p>
        </w:tc>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Process Owner + AI</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UKK ICOFR</w:t>
            </w:r>
          </w:p>
        </w:tc>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BPM tervalidasi per proses signifikan</w:t>
            </w:r>
          </w:p>
        </w:tc>
      </w:tr>
      <w:tr>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5</w:t>
            </w:r>
          </w:p>
        </w:tc>
        <w:tc>
          <w:tcPr>
            <w:tcW w:type="dxa" w:w="252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Penyusunan RCM (risiko &amp; pengendalian)</w:t>
            </w:r>
          </w:p>
        </w:tc>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Process Owner + AI</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Manajemen Risiko</w:t>
            </w:r>
          </w:p>
        </w:tc>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RCM tervalidasi Lini 2</w:t>
            </w:r>
          </w:p>
        </w:tc>
      </w:tr>
      <w:tr>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6</w:t>
            </w:r>
          </w:p>
        </w:tc>
        <w:tc>
          <w:tcPr>
            <w:tcW w:type="dxa" w:w="252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Persetujuan RCM (maker–checker–approver)</w:t>
            </w:r>
          </w:p>
        </w:tc>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UKK ICOFR</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Direktur Bidang</w:t>
            </w:r>
          </w:p>
        </w:tc>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RCM berstatus Baseline</w:t>
            </w:r>
          </w:p>
        </w:tc>
      </w:tr>
      <w:tr>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7</w:t>
            </w:r>
          </w:p>
        </w:tc>
        <w:tc>
          <w:tcPr>
            <w:tcW w:type="dxa" w:w="252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Walkthrough</w:t>
            </w:r>
          </w:p>
        </w:tc>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UKK ICOFR</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Process Owner</w:t>
            </w:r>
          </w:p>
        </w:tc>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Bukti walkthrough + konfirmasi pemilik</w:t>
            </w:r>
          </w:p>
        </w:tc>
      </w:tr>
      <w:tr>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8</w:t>
            </w:r>
          </w:p>
        </w:tc>
        <w:tc>
          <w:tcPr>
            <w:tcW w:type="dxa" w:w="252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Control Self-Assessment (CSA)</w:t>
            </w:r>
          </w:p>
        </w:tc>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Process Owner (Lini 1)</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Manajemen Risiko (Lini 2)</w:t>
            </w:r>
          </w:p>
        </w:tc>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Hasil CSA + bukti terlampir</w:t>
            </w:r>
          </w:p>
        </w:tc>
      </w:tr>
      <w:tr>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9</w:t>
            </w:r>
          </w:p>
        </w:tc>
        <w:tc>
          <w:tcPr>
            <w:tcW w:type="dxa" w:w="252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Test of Design (ToD)</w:t>
            </w:r>
          </w:p>
        </w:tc>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SKAI (Lini 3)</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Audit Manager</w:t>
            </w:r>
          </w:p>
        </w:tc>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Kesimpulan rancangan memadai / tidak memadai</w:t>
            </w:r>
          </w:p>
        </w:tc>
      </w:tr>
      <w:tr>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10</w:t>
            </w:r>
          </w:p>
        </w:tc>
        <w:tc>
          <w:tcPr>
            <w:tcW w:type="dxa" w:w="252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Test of Operating Effectiveness (ToE)</w:t>
            </w:r>
          </w:p>
        </w:tc>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SKAI (Lini 3)</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Audit Manager</w:t>
            </w:r>
          </w:p>
        </w:tc>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Kesimpulan efektif / tidak efektif + kertas kerja</w:t>
            </w:r>
          </w:p>
        </w:tc>
      </w:tr>
      <w:tr>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11</w:t>
            </w:r>
          </w:p>
        </w:tc>
        <w:tc>
          <w:tcPr>
            <w:tcW w:type="dxa" w:w="252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Identifikasi &amp; Klasifikasi Defisiensi (CD/SD/MW)</w:t>
            </w:r>
          </w:p>
        </w:tc>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SKAI</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UKK ICOFR</w:t>
            </w:r>
          </w:p>
        </w:tc>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Register defisiensi terklasifikasi</w:t>
            </w:r>
          </w:p>
        </w:tc>
      </w:tr>
      <w:tr>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12</w:t>
            </w:r>
          </w:p>
        </w:tc>
        <w:tc>
          <w:tcPr>
            <w:tcW w:type="dxa" w:w="252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Agregasi Defisiensi &amp; Degree of Deficiency</w:t>
            </w:r>
          </w:p>
        </w:tc>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UKK ICOFR</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Direktur Keuangan</w:t>
            </w:r>
          </w:p>
        </w:tc>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Dampak agregat terhadap akun signifikan</w:t>
            </w:r>
          </w:p>
        </w:tc>
      </w:tr>
      <w:tr>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13</w:t>
            </w:r>
          </w:p>
        </w:tc>
        <w:tc>
          <w:tcPr>
            <w:tcW w:type="dxa" w:w="252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Remediasi (CAPA)</w:t>
            </w:r>
          </w:p>
        </w:tc>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Process Owner (Lini 1)</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Manajemen Risiko</w:t>
            </w:r>
          </w:p>
        </w:tc>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Bukti remediasi + tanggal efektif</w:t>
            </w:r>
          </w:p>
        </w:tc>
      </w:tr>
      <w:tr>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14</w:t>
            </w:r>
          </w:p>
        </w:tc>
        <w:tc>
          <w:tcPr>
            <w:tcW w:type="dxa" w:w="252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Pengujian Ulang Pasca-Remediasi</w:t>
            </w:r>
          </w:p>
        </w:tc>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SKAI</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Audit Manager</w:t>
            </w:r>
          </w:p>
        </w:tc>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Kesimpulan pengujian ulang</w:t>
            </w:r>
          </w:p>
        </w:tc>
      </w:tr>
      <w:tr>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15</w:t>
            </w:r>
          </w:p>
        </w:tc>
        <w:tc>
          <w:tcPr>
            <w:tcW w:type="dxa" w:w="252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Atestasi Manajemen Berjenjang</w:t>
            </w:r>
          </w:p>
        </w:tc>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PO → Dir. Bidang → Dirut &amp; Dir. Keuangan</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Dewan Komisaris</w:t>
            </w:r>
          </w:p>
        </w:tc>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Sertifikasi efektivitas ICOFR bertanda tangan digital</w:t>
            </w:r>
          </w:p>
        </w:tc>
      </w:tr>
      <w:tr>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16</w:t>
            </w:r>
          </w:p>
        </w:tc>
        <w:tc>
          <w:tcPr>
            <w:tcW w:type="dxa" w:w="252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Pelaporan ke OJK</w:t>
            </w:r>
          </w:p>
        </w:tc>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Direksi</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Otoritas Jasa Keuangan</w:t>
            </w:r>
          </w:p>
        </w:tc>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Laporan Pengendalian Internal (Pasal 8)</w:t>
            </w:r>
          </w:p>
        </w:tc>
      </w:tr>
    </w:tbl>
    <w:p>
      <w:pPr>
        <w:spacing w:after="180" w:before="60"/>
        <w:jc w:val="left"/>
      </w:pPr>
      <w:r>
        <w:rPr>
          <w:rFonts w:ascii="Calibri" w:cs="Calibri" w:eastAsia="Calibri" w:hAnsi="Calibri"/>
          <w:i/>
          <w:iCs/>
          <w:color w:val="5C6B7E"/>
          <w:sz w:val="17"/>
          <w:szCs w:val="17"/>
        </w:rPr>
        <w:t xml:space="preserve">Tabel 7.1 — Alur kerja utama ICOFR (WF-ICF-01). Diterjemahkan menjadi BPMN pada DOK-08.</w:t>
      </w:r>
    </w:p>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auto" w:sz="0"/>
              <w:left w:val="single" w:color="1E5AA8" w:sz="24"/>
              <w:bottom w:val="none" w:color="auto" w:sz="0"/>
              <w:right w:val="none" w:color="auto" w:sz="0"/>
            </w:tcBorders>
            <w:shd w:fill="F2F5FA" w:color="auto" w:val="clear"/>
            <w:tcMar>
              <w:top w:type="dxa" w:w="100"/>
              <w:left w:type="dxa" w:w="160"/>
              <w:bottom w:type="dxa" w:w="100"/>
              <w:right w:type="dxa" w:w="140"/>
            </w:tcMar>
          </w:tcPr>
          <w:p>
            <w:pPr>
              <w:spacing w:after="60" w:before="40"/>
            </w:pPr>
            <w:r>
              <w:rPr>
                <w:rFonts w:ascii="Calibri" w:cs="Calibri" w:eastAsia="Calibri" w:hAnsi="Calibri"/>
                <w:b/>
                <w:bCs/>
                <w:color w:val="13366B"/>
                <w:sz w:val="20"/>
                <w:szCs w:val="20"/>
              </w:rPr>
              <w:t xml:space="preserve">Titik Kritis Alur</w:t>
            </w:r>
          </w:p>
          <w:p>
            <w:pPr>
              <w:spacing w:after="40" w:line="264"/>
              <w:jc w:val="both"/>
            </w:pPr>
            <w:r>
              <w:rPr>
                <w:rFonts w:ascii="Calibri" w:cs="Calibri" w:eastAsia="Calibri" w:hAnsi="Calibri"/>
                <w:color w:val="20293A"/>
                <w:sz w:val="19"/>
                <w:szCs w:val="19"/>
              </w:rPr>
              <w:t xml:space="preserve">Langkah 11 → 12 adalah tempat kegagalan paling mahal terjadi hari ini. Ketika klasifikasi dan agregasi defisiensi dilakukan manual menjelang tutup buku, Bank kehilangan waktu untuk meremediasi. Platform menghitung agregasi secara berkelanjutan sejak eksepsi pertama tercatat — sehingga potensi Material Weakness terlihat berbulan-bulan sebelum tanggal atestasi, bukan berhari-hari.</w:t>
            </w:r>
          </w:p>
        </w:tc>
      </w:tr>
    </w:tbl>
    <w:p>
      <w:pPr>
        <w:pStyle w:val="Heading2"/>
        <w:spacing w:after="120" w:before="260"/>
      </w:pPr>
      <w:r>
        <w:rPr>
          <w:rFonts w:ascii="Cambria" w:cs="Cambria" w:eastAsia="Cambria" w:hAnsi="Cambria"/>
          <w:b/>
          <w:bCs/>
          <w:color w:val="1B4A8A"/>
          <w:sz w:val="24"/>
          <w:szCs w:val="24"/>
        </w:rPr>
        <w:t xml:space="preserve">7.2 Alur Pendukung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3"/>
        <w:gridCol w:w="3249"/>
        <w:gridCol w:w="1625"/>
        <w:gridCol w:w="3249"/>
      </w:tblGrid>
      <w:tr>
        <w:trPr>
          <w:tblHeader/>
        </w:trPr>
        <w:tc>
          <w:tcPr>
            <w:tcW w:type="dxa" w:w="903"/>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Kode</w:t>
            </w:r>
          </w:p>
        </w:tc>
        <w:tc>
          <w:tcPr>
            <w:tcW w:type="dxa" w:w="3249"/>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Alur</w:t>
            </w:r>
          </w:p>
        </w:tc>
        <w:tc>
          <w:tcPr>
            <w:tcW w:type="dxa" w:w="1625"/>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Pemilik Proses</w:t>
            </w:r>
          </w:p>
        </w:tc>
        <w:tc>
          <w:tcPr>
            <w:tcW w:type="dxa" w:w="3249"/>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Nilai yang Dihasilkan</w:t>
            </w:r>
          </w:p>
        </w:tc>
      </w:tr>
      <w:tr>
        <w:tc>
          <w:tcPr>
            <w:tcW w:type="dxa" w:w="90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WF-ERM</w:t>
            </w:r>
          </w:p>
        </w:tc>
        <w:tc>
          <w:tcPr>
            <w:tcW w:type="dxa" w:w="324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Risk Assessment → RCSA → KRI Monitoring → Incident → Loss Event → CAPA → Risk Review</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Manajemen Risiko</w:t>
            </w:r>
          </w:p>
        </w:tc>
        <w:tc>
          <w:tcPr>
            <w:tcW w:type="dxa" w:w="324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Risiko residual terkini yang bersumber dari efektivitas pengendalian yang benar-benar diuji, bukan dari penilaian terpisah.</w:t>
            </w:r>
          </w:p>
        </w:tc>
      </w:tr>
      <w:tr>
        <w:tc>
          <w:tcPr>
            <w:tcW w:type="dxa" w:w="90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WF-IAD</w:t>
            </w:r>
          </w:p>
        </w:tc>
        <w:tc>
          <w:tcPr>
            <w:tcW w:type="dxa" w:w="324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Audit Planning → Fieldwork → Review → Findings → Recommendation → Follow-up → Closure</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SKAI</w:t>
            </w:r>
          </w:p>
        </w:tc>
        <w:tc>
          <w:tcPr>
            <w:tcW w:type="dxa" w:w="324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Audit plan berbasis risiko yang menarik skor risiko dari platform yang sama, menghindari penilaian ganda.</w:t>
            </w:r>
          </w:p>
        </w:tc>
      </w:tr>
      <w:tr>
        <w:tc>
          <w:tcPr>
            <w:tcW w:type="dxa" w:w="90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WF-CMP</w:t>
            </w:r>
          </w:p>
        </w:tc>
        <w:tc>
          <w:tcPr>
            <w:tcW w:type="dxa" w:w="324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Compliance Obligation → Assessment → Gap Analysis → Action Plan → Compliance Reporting</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Kepatuhan</w:t>
            </w:r>
          </w:p>
        </w:tc>
        <w:tc>
          <w:tcPr>
            <w:tcW w:type="dxa" w:w="324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Setiap kewajiban regulasi tertaut ke pengendalian &amp; bukti pemenuhannya, sehingga gap terlihat sebelum regulator menemukannya.</w:t>
            </w:r>
          </w:p>
        </w:tc>
      </w:tr>
      <w:tr>
        <w:tc>
          <w:tcPr>
            <w:tcW w:type="dxa" w:w="90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WF-POL</w:t>
            </w:r>
          </w:p>
        </w:tc>
        <w:tc>
          <w:tcPr>
            <w:tcW w:type="dxa" w:w="324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Policy Drafting → Review → Approval → Publication → Acknowledgement → Periodic Review</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Sekretaris Perusahaan / Kepatuhan</w:t>
            </w:r>
          </w:p>
        </w:tc>
        <w:tc>
          <w:tcPr>
            <w:tcW w:type="dxa" w:w="324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Kebijakan pengendalian internal pelaporan keuangan disetujui Direktur Utama setelah persetujuan Dewan Komisaris (Pasal 4).</w:t>
            </w:r>
          </w:p>
        </w:tc>
      </w:tr>
    </w:tbl>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8. KEBUTUHAN BISNIS</w:t>
      </w:r>
    </w:p>
    <w:p>
      <w:pPr>
        <w:pStyle w:val="Heading2"/>
        <w:spacing w:after="120" w:before="260"/>
      </w:pPr>
      <w:r>
        <w:rPr>
          <w:rFonts w:ascii="Cambria" w:cs="Cambria" w:eastAsia="Cambria" w:hAnsi="Cambria"/>
          <w:b/>
          <w:bCs/>
          <w:color w:val="1B4A8A"/>
          <w:sz w:val="24"/>
          <w:szCs w:val="24"/>
        </w:rPr>
        <w:t xml:space="preserve">8.1 Metode Prioritas MoSCoW</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2"/>
        <w:gridCol w:w="1805"/>
        <w:gridCol w:w="6499"/>
      </w:tblGrid>
      <w:tr>
        <w:trPr>
          <w:tblHeader/>
        </w:trPr>
        <w:tc>
          <w:tcPr>
            <w:tcW w:type="dxa" w:w="72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Kode</w:t>
            </w:r>
          </w:p>
        </w:tc>
        <w:tc>
          <w:tcPr>
            <w:tcW w:type="dxa" w:w="1805"/>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Kategori</w:t>
            </w:r>
          </w:p>
        </w:tc>
        <w:tc>
          <w:tcPr>
            <w:tcW w:type="dxa" w:w="6499"/>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Makna</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7"/>
                <w:szCs w:val="17"/>
              </w:rPr>
              <w:t xml:space="preserve">M</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Must Have</w:t>
            </w:r>
          </w:p>
        </w:tc>
        <w:tc>
          <w:tcPr>
            <w:tcW w:type="dxa" w:w="649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Tanpa ini, platform tidak memenuhi mandat regulasi atau tidak dapat digunakan. Wajib ada di Rilis 1 sesuai fase modulnya.</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7"/>
                <w:szCs w:val="17"/>
              </w:rPr>
              <w:t xml:space="preserve">S</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Should Have</w:t>
            </w:r>
          </w:p>
        </w:tc>
        <w:tc>
          <w:tcPr>
            <w:tcW w:type="dxa" w:w="649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Bernilai tinggi namun ada penyelesaian sementara. Dapat ditunda ke rilis berikutnya tanpa membatalkan business case.</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7"/>
                <w:szCs w:val="17"/>
              </w:rPr>
              <w:t xml:space="preserve">C</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Could Have</w:t>
            </w:r>
          </w:p>
        </w:tc>
        <w:tc>
          <w:tcPr>
            <w:tcW w:type="dxa" w:w="649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Peningkatan yang diinginkan bila kapasitas memungkinkan.</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7"/>
                <w:szCs w:val="17"/>
              </w:rPr>
              <w:t xml:space="preserve">W</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Won't Have (kali ini)</w:t>
            </w:r>
          </w:p>
        </w:tc>
        <w:tc>
          <w:tcPr>
            <w:tcW w:type="dxa" w:w="649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Diakui, namun secara eksplisit dikeluarkan dari ruang lingkup saat ini.</w:t>
            </w:r>
          </w:p>
        </w:tc>
      </w:tr>
    </w:tbl>
    <w:p>
      <w:pPr>
        <w:pStyle w:val="Heading2"/>
        <w:spacing w:after="120" w:before="260"/>
      </w:pPr>
      <w:r>
        <w:rPr>
          <w:rFonts w:ascii="Cambria" w:cs="Cambria" w:eastAsia="Cambria" w:hAnsi="Cambria"/>
          <w:b/>
          <w:bCs/>
          <w:color w:val="1B4A8A"/>
          <w:sz w:val="24"/>
          <w:szCs w:val="24"/>
        </w:rPr>
        <w:t xml:space="preserve">8.2 Daftar Kebutuhan Bisnis</w:t>
      </w:r>
    </w:p>
    <w:p>
      <w:pPr>
        <w:spacing w:after="120" w:line="276"/>
        <w:jc w:val="both"/>
      </w:pPr>
      <w:r>
        <w:rPr>
          <w:rFonts w:ascii="Calibri" w:cs="Calibri" w:eastAsia="Calibri" w:hAnsi="Calibri"/>
          <w:color w:val="20293A"/>
          <w:sz w:val="21"/>
          <w:szCs w:val="21"/>
        </w:rPr>
        <w:t xml:space="preserve">Enam puluh lima kebutuhan bisnis berikut bersifat mengikat. Setiap kebutuhan akan diturunkan menjadi satu atau lebih kebutuhan fungsional (FR) pada DOK-02 dan DOK-03, dan setiap FR akan diturunkan menjadi kasus uji pada DOK-34. Kebutuhan yang tidak dapat ditelusuri ke sumbernya, atau yang tidak dapat diuji secara objektif, dianggap cacat dan dikembalikan.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2"/>
        <w:gridCol w:w="4964"/>
        <w:gridCol w:w="1083"/>
        <w:gridCol w:w="542"/>
        <w:gridCol w:w="1715"/>
      </w:tblGrid>
      <w:tr>
        <w:trPr>
          <w:tblHeader/>
        </w:trPr>
        <w:tc>
          <w:tcPr>
            <w:tcW w:type="dxa" w:w="72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5"/>
                <w:szCs w:val="15"/>
              </w:rPr>
              <w:t xml:space="preserve">ID</w:t>
            </w:r>
          </w:p>
        </w:tc>
        <w:tc>
          <w:tcPr>
            <w:tcW w:type="dxa" w:w="4964"/>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5"/>
                <w:szCs w:val="15"/>
              </w:rPr>
              <w:t xml:space="preserve">Kebutuhan — Platform harus…</w:t>
            </w:r>
          </w:p>
        </w:tc>
        <w:tc>
          <w:tcPr>
            <w:tcW w:type="dxa" w:w="1083"/>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5"/>
                <w:szCs w:val="15"/>
              </w:rPr>
              <w:t xml:space="preserve">Modul</w:t>
            </w:r>
          </w:p>
        </w:tc>
        <w:tc>
          <w:tcPr>
            <w:tcW w:type="dxa" w:w="54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5"/>
                <w:szCs w:val="15"/>
              </w:rPr>
              <w:t xml:space="preserve">Pri.</w:t>
            </w:r>
          </w:p>
        </w:tc>
        <w:tc>
          <w:tcPr>
            <w:tcW w:type="dxa" w:w="1715"/>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5"/>
                <w:szCs w:val="15"/>
              </w:rPr>
              <w:t xml:space="preserve">Sumber</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BR-001</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Menyediakan satu taksonomi tunggal risiko–kontrol–akun–proses–asersi yang dipakai bersama oleh ICOFR, ERM, ORM, Kepatuhan, dan SKAI.</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Semua</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Prinsip P-02</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BR-002</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Mencatat setiap perubahan data material dalam jejak audit yang tidak dapat diubah atau dihapus oleh peran apa pun, termasuk administrator.</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ADM</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COSO IC; PCAOB</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BR-003</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Dapat diakses penuh dari ponsel untuk persetujuan, CSA, notifikasi, dan dasbor eksekutif.</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Semua</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Prinsip P-09</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BR-004</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Mendukung mode terang &amp; gelap serta memenuhi aksesibilitas WCAG 2.1 AA.</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Semua</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S</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Praktik terbaik</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BR-005</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Menempatkan seluruh data dan pemrosesan (termasuk inferensi AI) dalam yurisdiksi Indonesia.</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ADM, AIA</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Kedaulatan data</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BR-006</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Mengakomodasi Unit Kerja Khusus (UKK) ICOFR sebagai koordinator lintas lini dengan kewenangan validasi tersendiri.</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GOV, ADM</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POJK 15/2024 Ps. 5</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BR-007</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Memelihara struktur organisasi, komite, dan piagam yang menjadi dasar penugasan pengendalian.</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GOV</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COSO — Lingk. Pengendalian</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BR-008</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Menyediakan action tracker terpadu yang menyatukan tindak lanjut dari CSA, ToD/ToE, temuan audit, insiden, dan gap kepatuhan.</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GOV</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Combined Assurance</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BR-009</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Menyediakan kalender tata kelola (rapat komite, tenggat CSA, tenggat pelaporan) dengan pengingat otomatis.</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GOV</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S</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Praktik terbaik</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BR-010</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Mendukung penetapan Overall Materiality &amp; Performance Materiality beserta rasionalisasi tolok ukur (laba sebelum pajak, total pendapatan, total aset).</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ICF</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Metodologi ICOFR</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BR-011</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Mendukung penetapan akun &amp; pengungkapan signifikan berdasarkan faktor kuantitatif (≥ PM) dan kualitatif (kerentanan fraud, volume, kompleksitas, riwayat temuan).</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ICF</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Metodologi ICOFR</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BR-012</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Menautkan setiap akun signifikan ke asersi laporan keuangan yang relevan (E, C, VA, RO, O, PD).</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ICF</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Metodologi ICOFR</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BR-013</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Mendukung penetapan proses bisnis signifikan dan aplikasi signifikan yang menopang akun tersebut.</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ICF, ITG</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Metodologi ICOFR</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BR-014</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Mendokumentasikan Business Process Mapping beserta narasi, flowchart, dan BPMN untuk setiap proses signifikan.</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ICF</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POJK 15/2024 Ps. 4</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BR-015</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Memelihara Risk Control Matrix dengan atribut: risiko, asersi, jenis (preventif/detektif), sifat (manual/otomatis/IT-dependent), frekuensi, key control, tingkat risiko, pemilik.</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ICF</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Metodologi ICOFR</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BR-016</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Mengelola Entity Level Control berbasis 5 komponen COSO dan IT General Control secara terpisah namun tertaut ke pengendalian proses.</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ICF, ITG</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COSO IC 2013</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BR-017</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Mendukung walkthrough dengan perekaman bukti dan konfirmasi Process Owner.</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ICF</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Metodologi ICOFR</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BR-018</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Mendistribusikan, memantau, dan mengonsolidasikan CSA secara otomatis kepada pemilik kontrol, dengan penagihan &amp; eskalasi berbasis SLA.</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ICF</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Juknis ICOFR — Lini 1</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BR-019</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Mendukung Test of Design dengan perekaman prosedur uji, hasil, dan kesimpulan memadai/tidak memadai.</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ICF</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Juknis ICOFR — Lini 3</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BR-020</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Mendukung Test of Operating Effectiveness dengan populasi, ukuran sampel, jumlah eksepsi, dan kesimpulan efektif/tidak efektif.</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ICF</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Juknis ICOFR — Lini 3</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BR-021</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Menghitung saran ukuran sampel otomatis berdasarkan frekuensi, sifat kontrol, dan tingkat risiko; penyesuaian manual wajib disertai alasan.</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ICF</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S</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Metodologi sampling</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BR-022</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Membangkitkan kertas kerja pengujian yang menautkan kesimpulan ke setiap bukti dan sampel yang mendasarinya.</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ICF</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Prinsip P-03</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BR-023</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Mendukung klasifikasi defisiensi (CD / SD / MW) melalui pohon keputusan terpandu yang merekam pertimbangan profesional.</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ICF</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SOX 404; Buku Saku ICOFR</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BR-024</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Mengagregasi defisiensi berkelanjutan — individu maupun kombinasi yang berdampak pada akun yang sama — dan menyorot potensi eskalasi klasifikasi.</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ICF</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Metodologi ICOFR</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BR-025</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Mengelola siklus remediasi (rencana, PIC, tenggat, bukti) dan memicu pengujian ulang otomatis setelah remediasi selesai.</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ICF</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Juknis ICOFR — Remediasi</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BR-026</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Mendukung atestasi berjenjang: Process Owner → Direktur Bidang → Direktur Utama &amp; Direktur Keuangan, dengan tanda tangan digital.</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ICF</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POJK 15/2024; Buku Saku</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BR-027</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Memelihara Risk Universe dan taksonomi risiko berjenjang (strategis, operasional, keuangan, kepatuhan, teknologi, siber, pihak ketiga).</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ERM</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COSO ERM; ISO 31000</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BR-028</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Mendukung penetapan risk appetite &amp; risk tolerance per kategori risiko serta menandai pelampauannya.</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ERM</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COSO ERM</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BR-029</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Menghitung risiko residual dari risiko inheren dikurangi efektivitas pengendalian yang benar-benar diuji — bukan diinput manual.</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ERM, ORM</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Prinsip P-02</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BR-030</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Menyediakan heatmap risiko interaktif yang dapat ditelusuri hingga ke pengendalian dan buktinya.</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ERM</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Praktik terbaik</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BR-031</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Mendukung skenario analisis dan stress testing atas risiko operasional.</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ERM, ORM</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S</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Basel — Operational Risk</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BR-032</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Mendukung RCSA yang memakai control library sama dengan RCM ICOFR, sehingga satu pengendalian tidak diuji dua kali oleh fungsi berbeda.</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ORM</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Prinsip P-02</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BR-033</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Memelihara KRI library dengan threshold, tolerance, dan ambang peringatan dini per indikator.</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KRI</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Basel</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BR-034</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Menarik nilai KRI otomatis dari sistem sumber bila tersedia; mendukung input manual bila tidak.</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KRI</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S</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Praktik terbaik</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BR-035</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Memicu alert dan eskalasi otomatis saat KRI melampaui threshold.</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KRI</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Praktik terbaik</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BR-036</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Mencatat loss event (kerugian operasional, fraud, near miss) beserta kategori Basel, akar masalah, dan recovery.</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LED</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Basel — Loss Data</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BR-037</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Menautkan insiden ke pengendalian yang gagal, sehingga kegagalan berulang terlihat sebagai pola, bukan kejadian terisolasi.</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INC, LED</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Prinsip P-02</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BR-038</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Memelihara regulation library (POJK, PBI, SEOJK, ISO) dan memetakan setiap kewajiban ke pengendalian serta bukti pemenuhannya.</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CMP</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ISO 37301</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BR-039</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Mengelola siklus hidup kebijakan: penyusunan, reviu, persetujuan berjenjang, publikasi, acknowledgement, dan reviu berkala.</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POL</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POJK 15/2024 Ps. 4</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BR-040</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Memastikan persetujuan kebijakan pengendalian internal pelaporan keuangan mencapai Direktur Utama setelah persetujuan Dewan Komisaris, dengan bukti tersimpan permanen.</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POL</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POJK 15/2024 Ps. 4</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BR-041</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Menyediakan kalender kepatuhan dengan peringatan dini atas kewajiban pelaporan yang mendekati tenggat.</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CMP</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POJK 15/2024 Ps. 8</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BR-042</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Merekam acknowledgement pegawai atas kebijakan yang berlaku bagi perannya sebagai bukti sosialisasi ELC.</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POL</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COSO — Lingk. Pengendalian</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BR-043</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Mengelola ITGC pada empat domain: logical &amp; privileged access, change management, backup &amp; restore, dan IT operations.</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ITG</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COBIT 2019</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BR-044</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Menarik bukti ITGC otomatis dari sistem sumber (daftar pengguna, log perubahan, log backup) untuk mengurangi pengumpulan manual.</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ITG</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S</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Praktik terbaik</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BR-045</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Memelihara CMDB dan dependency mapping antara aplikasi signifikan, basis data, dan akun signifikan yang dipengaruhinya.</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ITA</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S</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COBIT 2019</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BR-046</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Menyimpan setiap dokumen bukti dengan hash integritas, versi, klasifikasi kerahasiaan, dan kebijakan retensi.</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DMS</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Prinsip P-03, P-04</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BR-047</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Menyediakan pencarian teks penuh lintas dokumen, termasuk hasil OCR atas dokumen pindaian.</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DMS</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S</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Praktik terbaik</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BR-048</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Memelihara audit universe dan menyusun audit plan berbasis risiko yang bersumber dari skor risiko residual platform.</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IAD</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IIA IPPF</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BR-049</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Mendukung siklus audit penuh: program, checklist, sampling, observasi, temuan, rekomendasi, follow-up, hingga opini.</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IAD</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IIA IPPF</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BR-050</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Memastikan temuan audit internal otomatis membuka CAPA dan muncul di action tracker yang sama dengan defisiensi ICOFR.</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IAD, GOV</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Combined Assurance</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BR-051</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Membangkitkan Laporan Pengendalian Internal atas Proses Pelaporan Keuangan untuk OJK langsung dari data pengujian.</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RPT</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POJK 15/2024 Ps. 8</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BR-052</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Membangkitkan paket laporan Direksi, Dewan Komisaris, dan Komite Audit dengan tingkat rincian berbeda dari sumber data yang sama.</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RPT</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Praktik terbaik</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BR-053</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Mengekspor seluruh laporan ke PDF, Word, Excel, dan PowerPoint dengan format bermerek Bank.</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RPT</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Kebutuhan pengguna</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BR-054</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Menyediakan dasbor eksekutif dengan skor Compliance, Risk, ICOFR, ERM, dan Audit yang dapat ditelusuri hingga ke data dasarnya.</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DSH</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Kebutuhan pengguna</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BR-055</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AI Assistant menyusun draf BPM, SIPOC, flowchart, narasi, RCM, dan risiko dari deskripsi proses atau SOP yang diunggah.</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AIA</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Efisiensi</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BR-056</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AI Assistant menyusun draf rencana pengujian, prosedur ToD/ToE, sampling, kertas kerja, analisis akar masalah, dan CAPA.</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AIA</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Efisiensi</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BR-057</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AI Assistant menjawab pertanyaan atas dokumen, kebijakan, hasil audit, register risiko, dan data ICOFR dengan mencantumkan sumber rujukan.</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AIA</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Kebutuhan pengguna</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BR-058</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Menetapkan seluruh keluaran AI berstatus draf yang wajib melalui persetujuan manusia sebelum menjadi data resmi; identitas penyetuju tercatat.</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AIA</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Prinsip P-07</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BR-059</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Melarang penggunaan data nasabah &amp; keuangan untuk melatih ulang model AI, dan meredaksi PII sebelum dikirim ke model.</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AIA</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Kedaulatan data</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BR-060</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Menerapkan RBAC &amp; ABAC dengan pemisahan tugas yang mencegah satu orang menjalankan, menguji, dan menyetujui pengendalian yang sama.</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ADM</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COSO; SOX 404</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BR-061</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Mendukung SSO (SAML/OIDC) terhadap direktori identitas Bank dan mewajibkan MFA untuk seluruh peran istimewa.</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ADM</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NIST SP 800-207</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BR-062</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Mengenkripsi data saat transit (TLS 1.3) dan saat diam (AES-256), dengan kunci dikelola di key vault terpisah.</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ADM</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ISO 27001; NIST</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BR-063</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Menerapkan pembatasan IP, geo-restriction, device binding, dan session timeout untuk peran istimewa.</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ADM</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Zero Trust</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BR-064</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Mendukung tanda tangan digital yang sah secara hukum untuk atestasi manajemen dan laporan OJK.</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ADM, RPT</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POJK 15/2024 Ps. 8</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BR-065</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Memberi watermark dinamis (identitas pengunduh + waktu) pada dokumen sensitif yang diunduh.</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DMS, ADM</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S</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DLP</w:t>
            </w:r>
          </w:p>
        </w:tc>
      </w:tr>
    </w:tbl>
    <w:p>
      <w:pPr>
        <w:spacing w:after="180" w:before="60"/>
        <w:jc w:val="left"/>
      </w:pPr>
      <w:r>
        <w:rPr>
          <w:rFonts w:ascii="Calibri" w:cs="Calibri" w:eastAsia="Calibri" w:hAnsi="Calibri"/>
          <w:i/>
          <w:iCs/>
          <w:color w:val="5C6B7E"/>
          <w:sz w:val="17"/>
          <w:szCs w:val="17"/>
        </w:rPr>
        <w:t xml:space="preserve">Tabel 8.2 — 65 kebutuhan bisnis. Pri. = Prioritas MoSCoW. Modul mengacu kode kanonik DOK-00 §2.2.</w:t>
      </w:r>
    </w:p>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9. ATURAN BISNIS</w:t>
      </w:r>
    </w:p>
    <w:p>
      <w:pPr>
        <w:spacing w:after="120" w:line="276"/>
        <w:jc w:val="both"/>
      </w:pPr>
      <w:r>
        <w:rPr>
          <w:rFonts w:ascii="Calibri" w:cs="Calibri" w:eastAsia="Calibri" w:hAnsi="Calibri"/>
          <w:color w:val="20293A"/>
          <w:sz w:val="21"/>
          <w:szCs w:val="21"/>
        </w:rPr>
        <w:t xml:space="preserve">Aturan berikut wajib ditegakkan oleh sistem, bukan oleh disiplin pengguna. Sistem harus menolak — bukan sekadar memperingatkan — setiap upaya yang melanggarnya. Kriteria penerimaan AC-03 menguji hal ini melalui skenario pelanggaran yang harus gagal.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12"/>
        <w:gridCol w:w="1534"/>
        <w:gridCol w:w="6680"/>
      </w:tblGrid>
      <w:tr>
        <w:trPr>
          <w:tblHeader/>
        </w:trPr>
        <w:tc>
          <w:tcPr>
            <w:tcW w:type="dxa" w:w="81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ID</w:t>
            </w:r>
          </w:p>
        </w:tc>
        <w:tc>
          <w:tcPr>
            <w:tcW w:type="dxa" w:w="1534"/>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Kategori</w:t>
            </w:r>
          </w:p>
        </w:tc>
        <w:tc>
          <w:tcPr>
            <w:tcW w:type="dxa" w:w="6680"/>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Aturan</w:t>
            </w:r>
          </w:p>
        </w:tc>
      </w:tr>
      <w:tr>
        <w:tc>
          <w:tcPr>
            <w:tcW w:type="dxa" w:w="8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BRL-001</w:t>
            </w:r>
          </w:p>
        </w:tc>
        <w:tc>
          <w:tcPr>
            <w:tcW w:type="dxa" w:w="153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Pemisahan Tugas</w:t>
            </w:r>
          </w:p>
        </w:tc>
        <w:tc>
          <w:tcPr>
            <w:tcW w:type="dxa" w:w="668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Pengguna yang menjalankan suatu pengendalian tidak boleh menjadi penguji ToE atas pengendalian yang sama. Sistem menolak penugasan tersebut.</w:t>
            </w:r>
          </w:p>
        </w:tc>
      </w:tr>
      <w:tr>
        <w:tc>
          <w:tcPr>
            <w:tcW w:type="dxa" w:w="8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BRL-002</w:t>
            </w:r>
          </w:p>
        </w:tc>
        <w:tc>
          <w:tcPr>
            <w:tcW w:type="dxa" w:w="153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Pemisahan Tugas</w:t>
            </w:r>
          </w:p>
        </w:tc>
        <w:tc>
          <w:tcPr>
            <w:tcW w:type="dxa" w:w="668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Penyusun (maker) tidak boleh menjadi penyetuju (approver) atas objek yang sama — tanpa pengecualian, termasuk untuk peran administrator.</w:t>
            </w:r>
          </w:p>
        </w:tc>
      </w:tr>
      <w:tr>
        <w:tc>
          <w:tcPr>
            <w:tcW w:type="dxa" w:w="8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BRL-003</w:t>
            </w:r>
          </w:p>
        </w:tc>
        <w:tc>
          <w:tcPr>
            <w:tcW w:type="dxa" w:w="153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Bukti Wajib</w:t>
            </w:r>
          </w:p>
        </w:tc>
        <w:tc>
          <w:tcPr>
            <w:tcW w:type="dxa" w:w="668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Kesimpulan "Efektif" pada ToE tidak dapat disimpan tanpa sekurang-kurangnya satu bukti terlampir dan ukuran sampel terisi.</w:t>
            </w:r>
          </w:p>
        </w:tc>
      </w:tr>
      <w:tr>
        <w:tc>
          <w:tcPr>
            <w:tcW w:type="dxa" w:w="8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BRL-004</w:t>
            </w:r>
          </w:p>
        </w:tc>
        <w:tc>
          <w:tcPr>
            <w:tcW w:type="dxa" w:w="153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Bukti Wajib</w:t>
            </w:r>
          </w:p>
        </w:tc>
        <w:tc>
          <w:tcPr>
            <w:tcW w:type="dxa" w:w="668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Kesimpulan "Memadai" pada CSA tidak dapat disimpan tanpa bukti terlampir bila kontrol berstatus key control.</w:t>
            </w:r>
          </w:p>
        </w:tc>
      </w:tr>
      <w:tr>
        <w:tc>
          <w:tcPr>
            <w:tcW w:type="dxa" w:w="8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BRL-005</w:t>
            </w:r>
          </w:p>
        </w:tc>
        <w:tc>
          <w:tcPr>
            <w:tcW w:type="dxa" w:w="153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Eskalasi Defisiensi</w:t>
            </w:r>
          </w:p>
        </w:tc>
        <w:tc>
          <w:tcPr>
            <w:tcW w:type="dxa" w:w="668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Setiap eksepsi ToE &gt; 0 wajib memicu pembentukan draf defisiensi. Defisiensi tidak dapat ditutup tanpa pengujian ulang yang lulus.</w:t>
            </w:r>
          </w:p>
        </w:tc>
      </w:tr>
      <w:tr>
        <w:tc>
          <w:tcPr>
            <w:tcW w:type="dxa" w:w="8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BRL-006</w:t>
            </w:r>
          </w:p>
        </w:tc>
        <w:tc>
          <w:tcPr>
            <w:tcW w:type="dxa" w:w="153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Agregasi</w:t>
            </w:r>
          </w:p>
        </w:tc>
        <w:tc>
          <w:tcPr>
            <w:tcW w:type="dxa" w:w="668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Dua defisiensi atau lebih dengan akar masalah sama yang berdampak pada akun yang sama wajib dievaluasi ulang sebagai kandidat Significant Deficiency.</w:t>
            </w:r>
          </w:p>
        </w:tc>
      </w:tr>
      <w:tr>
        <w:tc>
          <w:tcPr>
            <w:tcW w:type="dxa" w:w="8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BRL-007</w:t>
            </w:r>
          </w:p>
        </w:tc>
        <w:tc>
          <w:tcPr>
            <w:tcW w:type="dxa" w:w="153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Temuan Berulang</w:t>
            </w:r>
          </w:p>
        </w:tc>
        <w:tc>
          <w:tcPr>
            <w:tcW w:type="dxa" w:w="668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Defisiensi yang muncul lebih dari satu kali dengan akar masalah sama dan tanpa upaya perbaikan wajib dinaikkan klasifikasinya minimal satu tingkat.</w:t>
            </w:r>
          </w:p>
        </w:tc>
      </w:tr>
      <w:tr>
        <w:tc>
          <w:tcPr>
            <w:tcW w:type="dxa" w:w="8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BRL-008</w:t>
            </w:r>
          </w:p>
        </w:tc>
        <w:tc>
          <w:tcPr>
            <w:tcW w:type="dxa" w:w="153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Kunci Periode</w:t>
            </w:r>
          </w:p>
        </w:tc>
        <w:tc>
          <w:tcPr>
            <w:tcW w:type="dxa" w:w="668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Setelah atestasi manajemen ditandatangani, data pengujian periode tersebut dikunci (read-only). Perubahan hanya melalui prosedur restatement bernomor.</w:t>
            </w:r>
          </w:p>
        </w:tc>
      </w:tr>
      <w:tr>
        <w:tc>
          <w:tcPr>
            <w:tcW w:type="dxa" w:w="8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BRL-009</w:t>
            </w:r>
          </w:p>
        </w:tc>
        <w:tc>
          <w:tcPr>
            <w:tcW w:type="dxa" w:w="153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Ambang Materialitas</w:t>
            </w:r>
          </w:p>
        </w:tc>
        <w:tc>
          <w:tcPr>
            <w:tcW w:type="dxa" w:w="668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Akun dengan nilai ≥ Performance Materiality otomatis masuk in-scope. Pengecualian wajib disertai rasionalisasi tertulis dan persetujuan Direktur Keuangan.</w:t>
            </w:r>
          </w:p>
        </w:tc>
      </w:tr>
      <w:tr>
        <w:tc>
          <w:tcPr>
            <w:tcW w:type="dxa" w:w="8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BRL-010</w:t>
            </w:r>
          </w:p>
        </w:tc>
        <w:tc>
          <w:tcPr>
            <w:tcW w:type="dxa" w:w="153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Keluaran AI</w:t>
            </w:r>
          </w:p>
        </w:tc>
        <w:tc>
          <w:tcPr>
            <w:tcW w:type="dxa" w:w="668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Keluaran AI Assistant selalu berstatus "Draf — Belum Divalidasi" dan tidak diperhitungkan dalam skor apa pun sampai disetujui manusia berwenang.</w:t>
            </w:r>
          </w:p>
        </w:tc>
      </w:tr>
      <w:tr>
        <w:tc>
          <w:tcPr>
            <w:tcW w:type="dxa" w:w="8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BRL-011</w:t>
            </w:r>
          </w:p>
        </w:tc>
        <w:tc>
          <w:tcPr>
            <w:tcW w:type="dxa" w:w="153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Retensi</w:t>
            </w:r>
          </w:p>
        </w:tc>
        <w:tc>
          <w:tcPr>
            <w:tcW w:type="dxa" w:w="668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Bukti dan kertas kerja ICOFR disimpan sekurang-kurangnya 10 tahun dan tidak dapat dihapus sebelum periode retensi berakhir.</w:t>
            </w:r>
          </w:p>
        </w:tc>
      </w:tr>
      <w:tr>
        <w:tc>
          <w:tcPr>
            <w:tcW w:type="dxa" w:w="8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BRL-012</w:t>
            </w:r>
          </w:p>
        </w:tc>
        <w:tc>
          <w:tcPr>
            <w:tcW w:type="dxa" w:w="153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Akses Eksternal</w:t>
            </w:r>
          </w:p>
        </w:tc>
        <w:tc>
          <w:tcPr>
            <w:tcW w:type="dxa" w:w="668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Akses auditor eksternal bersifat hanya-baca, terbatas pada ruang lingkup penugasan, dan berakhir otomatis pada tanggal yang ditetapkan.</w:t>
            </w:r>
          </w:p>
        </w:tc>
      </w:tr>
    </w:tbl>
    <w:p>
      <w:pPr>
        <w:spacing w:after="180" w:before="60"/>
        <w:jc w:val="left"/>
      </w:pPr>
      <w:r>
        <w:rPr>
          <w:rFonts w:ascii="Calibri" w:cs="Calibri" w:eastAsia="Calibri" w:hAnsi="Calibri"/>
          <w:i/>
          <w:iCs/>
          <w:color w:val="5C6B7E"/>
          <w:sz w:val="17"/>
          <w:szCs w:val="17"/>
        </w:rPr>
        <w:t xml:space="preserve">Tabel 9 — Dua belas aturan bisnis yang mengikat sistem.</w:t>
      </w:r>
    </w:p>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10. PEMETAAN KEPATUHAN REGULASI</w:t>
      </w:r>
    </w:p>
    <w:p>
      <w:pPr>
        <w:spacing w:after="120" w:line="276"/>
        <w:jc w:val="both"/>
      </w:pPr>
      <w:r>
        <w:rPr>
          <w:rFonts w:ascii="Calibri" w:cs="Calibri" w:eastAsia="Calibri" w:hAnsi="Calibri"/>
          <w:color w:val="20293A"/>
          <w:sz w:val="21"/>
          <w:szCs w:val="21"/>
        </w:rPr>
        <w:t xml:space="preserve">Setiap kewajiban regulasi harus dapat ditunjukkan pemenuhannya di dalam platform. Tabel berikut adalah pemetaan tingkat kebutuhan bisnis; pemetaan rinci hingga tingkat fungsi dan bukti ditetapkan pada DOK-03 dan dioperasionalkan oleh modul CMP.</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4"/>
        <w:gridCol w:w="3069"/>
        <w:gridCol w:w="4513"/>
      </w:tblGrid>
      <w:tr>
        <w:trPr>
          <w:tblHeader/>
        </w:trPr>
        <w:tc>
          <w:tcPr>
            <w:tcW w:type="dxa" w:w="1444"/>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Sumber</w:t>
            </w:r>
          </w:p>
        </w:tc>
        <w:tc>
          <w:tcPr>
            <w:tcW w:type="dxa" w:w="3069"/>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Kewajiban Inti</w:t>
            </w:r>
          </w:p>
        </w:tc>
        <w:tc>
          <w:tcPr>
            <w:tcW w:type="dxa" w:w="4513"/>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Dipenuhi Oleh</w:t>
            </w:r>
          </w:p>
        </w:tc>
      </w:tr>
      <w:tr>
        <w:tc>
          <w:tcPr>
            <w:tcW w:type="dxa" w:w="144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POJK 15/2024 Ps. 2</w:t>
            </w:r>
          </w:p>
        </w:tc>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Proses pelaporan keuangan yang berintegritas.</w:t>
            </w:r>
          </w:p>
        </w:tc>
        <w:tc>
          <w:tcPr>
            <w:tcW w:type="dxa" w:w="451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BR-010 s.d. BR-024 — rantai materialitas → akun → proses → RCM → pengujian → bukti.</w:t>
            </w:r>
          </w:p>
        </w:tc>
      </w:tr>
      <w:tr>
        <w:tc>
          <w:tcPr>
            <w:tcW w:type="dxa" w:w="144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POJK 15/2024 Ps. 4</w:t>
            </w:r>
          </w:p>
        </w:tc>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Kebijakan &amp; prosedur pengendalian internal ditetapkan Dirut setelah persetujuan Dekom.</w:t>
            </w:r>
          </w:p>
        </w:tc>
        <w:tc>
          <w:tcPr>
            <w:tcW w:type="dxa" w:w="451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BR-039, BR-040, BR-042 — alur persetujuan berjenjang &amp; bukti acknowledgement.</w:t>
            </w:r>
          </w:p>
        </w:tc>
      </w:tr>
      <w:tr>
        <w:tc>
          <w:tcPr>
            <w:tcW w:type="dxa" w:w="144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POJK 15/2024 Ps. 5</w:t>
            </w:r>
          </w:p>
        </w:tc>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Pembentukan Unit Kerja Khusus.</w:t>
            </w:r>
          </w:p>
        </w:tc>
        <w:tc>
          <w:tcPr>
            <w:tcW w:type="dxa" w:w="451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BR-006, BR-060 — struktur organisasi &amp; RBAC dengan peran UKK ICOFR.</w:t>
            </w:r>
          </w:p>
        </w:tc>
      </w:tr>
      <w:tr>
        <w:tc>
          <w:tcPr>
            <w:tcW w:type="dxa" w:w="144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POJK 15/2024 Ps. 8</w:t>
            </w:r>
          </w:p>
        </w:tc>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Laporan pengendalian internal kepada OJK.</w:t>
            </w:r>
          </w:p>
        </w:tc>
        <w:tc>
          <w:tcPr>
            <w:tcW w:type="dxa" w:w="451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BR-051, BR-053, BR-064 — generator laporan + tanda tangan digital + arsip immutable.</w:t>
            </w:r>
          </w:p>
        </w:tc>
      </w:tr>
      <w:tr>
        <w:tc>
          <w:tcPr>
            <w:tcW w:type="dxa" w:w="144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COSO IC — 5 komponen</w:t>
            </w:r>
          </w:p>
        </w:tc>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Entity Level Control yang efektif.</w:t>
            </w:r>
          </w:p>
        </w:tc>
        <w:tc>
          <w:tcPr>
            <w:tcW w:type="dxa" w:w="451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BR-016, BR-042 — ELC berbasis lima komponen COSO dengan bukti.</w:t>
            </w:r>
          </w:p>
        </w:tc>
      </w:tr>
      <w:tr>
        <w:tc>
          <w:tcPr>
            <w:tcW w:type="dxa" w:w="144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SOX 404 / PCAOB</w:t>
            </w:r>
          </w:p>
        </w:tc>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Klasifikasi &amp; agregasi defisiensi.</w:t>
            </w:r>
          </w:p>
        </w:tc>
        <w:tc>
          <w:tcPr>
            <w:tcW w:type="dxa" w:w="451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BR-023, BR-024 — pohon keputusan CD/SD/MW + agregasi berkelanjutan.</w:t>
            </w:r>
          </w:p>
        </w:tc>
      </w:tr>
      <w:tr>
        <w:tc>
          <w:tcPr>
            <w:tcW w:type="dxa" w:w="144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ISO 27001 / NIST</w:t>
            </w:r>
          </w:p>
        </w:tc>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Keamanan informasi &amp; pengendalian akses.</w:t>
            </w:r>
          </w:p>
        </w:tc>
        <w:tc>
          <w:tcPr>
            <w:tcW w:type="dxa" w:w="451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BR-061 s.d. BR-063 — SSO, MFA, enkripsi, Zero Trust.</w:t>
            </w:r>
          </w:p>
        </w:tc>
      </w:tr>
      <w:tr>
        <w:tc>
          <w:tcPr>
            <w:tcW w:type="dxa" w:w="144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ISO 37301</w:t>
            </w:r>
          </w:p>
        </w:tc>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Sistem manajemen kepatuhan.</w:t>
            </w:r>
          </w:p>
        </w:tc>
        <w:tc>
          <w:tcPr>
            <w:tcW w:type="dxa" w:w="451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BR-038, BR-041 — regulation library, pemetaan kewajiban, kalender kepatuhan.</w:t>
            </w:r>
          </w:p>
        </w:tc>
      </w:tr>
      <w:tr>
        <w:tc>
          <w:tcPr>
            <w:tcW w:type="dxa" w:w="144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Basel — Operational Risk</w:t>
            </w:r>
          </w:p>
        </w:tc>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Pengumpulan data kerugian &amp; KRI.</w:t>
            </w:r>
          </w:p>
        </w:tc>
        <w:tc>
          <w:tcPr>
            <w:tcW w:type="dxa" w:w="451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BR-033 s.d. BR-036 — KRI library, threshold, loss event dengan kategori Basel.</w:t>
            </w:r>
          </w:p>
        </w:tc>
      </w:tr>
      <w:tr>
        <w:tc>
          <w:tcPr>
            <w:tcW w:type="dxa" w:w="144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IIA IPPF</w:t>
            </w:r>
          </w:p>
        </w:tc>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Audit internal berbasis risiko.</w:t>
            </w:r>
          </w:p>
        </w:tc>
        <w:tc>
          <w:tcPr>
            <w:tcW w:type="dxa" w:w="451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BR-048 s.d. BR-050 — audit universe, plan berbasis risiko platform, CAPA terpadu.</w:t>
            </w:r>
          </w:p>
        </w:tc>
      </w:tr>
    </w:tbl>
    <w:p>
      <w:pPr>
        <w:spacing w:after="180" w:before="60"/>
        <w:jc w:val="left"/>
      </w:pPr>
      <w:r>
        <w:rPr>
          <w:rFonts w:ascii="Calibri" w:cs="Calibri" w:eastAsia="Calibri" w:hAnsi="Calibri"/>
          <w:i/>
          <w:iCs/>
          <w:color w:val="5C6B7E"/>
          <w:sz w:val="17"/>
          <w:szCs w:val="17"/>
        </w:rPr>
        <w:t xml:space="preserve">Tabel 10 — Pemetaan kepatuhan tingkat kebutuhan bisnis.</w:t>
      </w:r>
    </w:p>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11. BUSINESS CASE &amp; KPI KEBERHASILAN</w:t>
      </w:r>
    </w:p>
    <w:p>
      <w:pPr>
        <w:pStyle w:val="Heading2"/>
        <w:spacing w:after="120" w:before="260"/>
      </w:pPr>
      <w:r>
        <w:rPr>
          <w:rFonts w:ascii="Cambria" w:cs="Cambria" w:eastAsia="Cambria" w:hAnsi="Cambria"/>
          <w:b/>
          <w:bCs/>
          <w:color w:val="1B4A8A"/>
          <w:sz w:val="24"/>
          <w:szCs w:val="24"/>
        </w:rPr>
        <w:t xml:space="preserve">Manfaat Utama</w:t>
      </w:r>
    </w:p>
    <w:p>
      <w:pPr>
        <w:pStyle w:val="ListParagraph"/>
        <w:numPr>
          <w:ilvl w:val="0"/>
          <w:numId w:val="3"/>
        </w:numPr>
        <w:spacing w:after="60" w:line="264"/>
        <w:jc w:val="both"/>
      </w:pPr>
      <w:r>
        <w:rPr>
          <w:rFonts w:ascii="Calibri" w:cs="Calibri" w:eastAsia="Calibri" w:hAnsi="Calibri"/>
          <w:b/>
          <w:bCs/>
          <w:color w:val="20293A"/>
          <w:sz w:val="21"/>
          <w:szCs w:val="21"/>
        </w:rPr>
        <w:t xml:space="preserve">Menghindari sanksi. </w:t>
      </w:r>
      <w:r>
        <w:rPr>
          <w:rFonts w:ascii="Calibri" w:cs="Calibri" w:eastAsia="Calibri" w:hAnsi="Calibri"/>
          <w:color w:val="20293A"/>
          <w:sz w:val="21"/>
          <w:szCs w:val="21"/>
        </w:rPr>
        <w:t xml:space="preserve">Denda POJK 15/2024 berkisar Rp2–50 miliar per pelanggaran. Kemampuan membuktikan kepatuhan secara berkelanjutan adalah bentuk mitigasi risiko finansial yang langsung dapat dikuantifikasi.</w:t>
      </w:r>
    </w:p>
    <w:p>
      <w:pPr>
        <w:pStyle w:val="ListParagraph"/>
        <w:numPr>
          <w:ilvl w:val="0"/>
          <w:numId w:val="3"/>
        </w:numPr>
        <w:spacing w:after="60" w:line="264"/>
        <w:jc w:val="both"/>
      </w:pPr>
      <w:r>
        <w:rPr>
          <w:rFonts w:ascii="Calibri" w:cs="Calibri" w:eastAsia="Calibri" w:hAnsi="Calibri"/>
          <w:b/>
          <w:bCs/>
          <w:color w:val="20293A"/>
          <w:sz w:val="21"/>
          <w:szCs w:val="21"/>
        </w:rPr>
        <w:t xml:space="preserve">Menghilangkan pengujian ganda. </w:t>
      </w:r>
      <w:r>
        <w:rPr>
          <w:rFonts w:ascii="Calibri" w:cs="Calibri" w:eastAsia="Calibri" w:hAnsi="Calibri"/>
          <w:color w:val="20293A"/>
          <w:sz w:val="21"/>
          <w:szCs w:val="21"/>
        </w:rPr>
        <w:t xml:space="preserve">Control library tunggal (BR-001) menghapus situasi di mana pengendalian yang sama diuji ICOFR, RCSA, Kepatuhan, dan SKAI secara terpisah — beban yang selama ini ditanggung Process Owner yang sama.</w:t>
      </w:r>
    </w:p>
    <w:p>
      <w:pPr>
        <w:pStyle w:val="ListParagraph"/>
        <w:numPr>
          <w:ilvl w:val="0"/>
          <w:numId w:val="3"/>
        </w:numPr>
        <w:spacing w:after="60" w:line="264"/>
        <w:jc w:val="both"/>
      </w:pPr>
      <w:r>
        <w:rPr>
          <w:rFonts w:ascii="Calibri" w:cs="Calibri" w:eastAsia="Calibri" w:hAnsi="Calibri"/>
          <w:b/>
          <w:bCs/>
          <w:color w:val="20293A"/>
          <w:sz w:val="21"/>
          <w:szCs w:val="21"/>
        </w:rPr>
        <w:t xml:space="preserve">Memangkas beban administratif. </w:t>
      </w:r>
      <w:r>
        <w:rPr>
          <w:rFonts w:ascii="Calibri" w:cs="Calibri" w:eastAsia="Calibri" w:hAnsi="Calibri"/>
          <w:color w:val="20293A"/>
          <w:sz w:val="21"/>
          <w:szCs w:val="21"/>
        </w:rPr>
        <w:t xml:space="preserve">Kertas kerja terbangkit dari RCM (BR-022) dan draf AI (BR-055, BR-056) memindahkan waktu tenaga ahli dari mengetik ke menilai.</w:t>
      </w:r>
    </w:p>
    <w:p>
      <w:pPr>
        <w:pStyle w:val="ListParagraph"/>
        <w:numPr>
          <w:ilvl w:val="0"/>
          <w:numId w:val="3"/>
        </w:numPr>
        <w:spacing w:after="60" w:line="264"/>
        <w:jc w:val="both"/>
      </w:pPr>
      <w:r>
        <w:rPr>
          <w:rFonts w:ascii="Calibri" w:cs="Calibri" w:eastAsia="Calibri" w:hAnsi="Calibri"/>
          <w:b/>
          <w:bCs/>
          <w:color w:val="20293A"/>
          <w:sz w:val="21"/>
          <w:szCs w:val="21"/>
        </w:rPr>
        <w:t xml:space="preserve">Mempercepat siklus tutup buku. </w:t>
      </w:r>
      <w:r>
        <w:rPr>
          <w:rFonts w:ascii="Calibri" w:cs="Calibri" w:eastAsia="Calibri" w:hAnsi="Calibri"/>
          <w:color w:val="20293A"/>
          <w:sz w:val="21"/>
          <w:szCs w:val="21"/>
        </w:rPr>
        <w:t xml:space="preserve">Agregasi defisiensi berkelanjutan (BR-024) membuat potensi Material Weakness terlihat berbulan-bulan lebih awal, memberi ruang remediasi yang hari ini tidak ada.</w:t>
      </w:r>
    </w:p>
    <w:p>
      <w:pPr>
        <w:pStyle w:val="ListParagraph"/>
        <w:numPr>
          <w:ilvl w:val="0"/>
          <w:numId w:val="3"/>
        </w:numPr>
        <w:spacing w:after="60" w:line="264"/>
        <w:jc w:val="both"/>
      </w:pPr>
      <w:r>
        <w:rPr>
          <w:rFonts w:ascii="Calibri" w:cs="Calibri" w:eastAsia="Calibri" w:hAnsi="Calibri"/>
          <w:b/>
          <w:bCs/>
          <w:color w:val="20293A"/>
          <w:sz w:val="21"/>
          <w:szCs w:val="21"/>
        </w:rPr>
        <w:t xml:space="preserve">Meningkatkan kualitas keputusan Direksi. </w:t>
      </w:r>
      <w:r>
        <w:rPr>
          <w:rFonts w:ascii="Calibri" w:cs="Calibri" w:eastAsia="Calibri" w:hAnsi="Calibri"/>
          <w:color w:val="20293A"/>
          <w:sz w:val="21"/>
          <w:szCs w:val="21"/>
        </w:rPr>
        <w:t xml:space="preserve">Atestasi yang berpijak pada bukti yang dapat ditelusuri, bukan pada laporan ringkasan yang harus dipercaya.</w:t>
      </w:r>
    </w:p>
    <w:p>
      <w:pPr>
        <w:spacing w:after="160"/>
      </w:pPr>
    </w:p>
    <w:p>
      <w:pPr>
        <w:pStyle w:val="Heading2"/>
        <w:spacing w:after="120" w:before="260"/>
      </w:pPr>
      <w:r>
        <w:rPr>
          <w:rFonts w:ascii="Cambria" w:cs="Cambria" w:eastAsia="Cambria" w:hAnsi="Cambria"/>
          <w:b/>
          <w:bCs/>
          <w:color w:val="1B4A8A"/>
          <w:sz w:val="24"/>
          <w:szCs w:val="24"/>
        </w:rPr>
        <w:t xml:space="preserve">KPI Keberhasilan</w:t>
      </w:r>
    </w:p>
    <w:p>
      <w:pPr>
        <w:spacing w:after="120" w:line="276"/>
        <w:jc w:val="both"/>
      </w:pPr>
      <w:r>
        <w:rPr>
          <w:rFonts w:ascii="Calibri" w:cs="Calibri" w:eastAsia="Calibri" w:hAnsi="Calibri"/>
          <w:color w:val="20293A"/>
          <w:sz w:val="21"/>
          <w:szCs w:val="21"/>
        </w:rPr>
        <w:t xml:space="preserve">KPI berikut diukur pada akhir Rilis 1 dan dipantau berkelanjutan. Nilai "Kondisi Awal" ditetapkan bersama Bank pada saat baseline; angka di bawah adalah estimasi indikatif berdasarkan praktik yang teramati.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32"/>
        <w:gridCol w:w="2708"/>
        <w:gridCol w:w="1444"/>
        <w:gridCol w:w="1264"/>
        <w:gridCol w:w="2978"/>
      </w:tblGrid>
      <w:tr>
        <w:trPr>
          <w:tblHeader/>
        </w:trPr>
        <w:tc>
          <w:tcPr>
            <w:tcW w:type="dxa" w:w="63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ID</w:t>
            </w:r>
          </w:p>
        </w:tc>
        <w:tc>
          <w:tcPr>
            <w:tcW w:type="dxa" w:w="2708"/>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Ukuran</w:t>
            </w:r>
          </w:p>
        </w:tc>
        <w:tc>
          <w:tcPr>
            <w:tcW w:type="dxa" w:w="1444"/>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Kondisi Awal</w:t>
            </w:r>
          </w:p>
        </w:tc>
        <w:tc>
          <w:tcPr>
            <w:tcW w:type="dxa" w:w="1264"/>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Target</w:t>
            </w:r>
          </w:p>
        </w:tc>
        <w:tc>
          <w:tcPr>
            <w:tcW w:type="dxa" w:w="2978"/>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Mekanisme</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KPI-01</w:t>
            </w:r>
          </w:p>
        </w:tc>
        <w:tc>
          <w:tcPr>
            <w:tcW w:type="dxa" w:w="27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Waktu siklus penyusunan &amp; validasi RCM</w:t>
            </w:r>
          </w:p>
        </w:tc>
        <w:tc>
          <w:tcPr>
            <w:tcW w:type="dxa" w:w="144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8–12 minggu</w:t>
            </w:r>
          </w:p>
        </w:tc>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1E8E63"/>
                <w:sz w:val="16"/>
                <w:szCs w:val="16"/>
              </w:rPr>
              <w:t xml:space="preserve">≤ 4 minggu</w:t>
            </w:r>
          </w:p>
        </w:tc>
        <w:tc>
          <w:tcPr>
            <w:tcW w:type="dxa" w:w="297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Draf otomatis + validasi terpusat</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KPI-02</w:t>
            </w:r>
          </w:p>
        </w:tc>
        <w:tc>
          <w:tcPr>
            <w:tcW w:type="dxa" w:w="27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Waktu penyelesaian satu siklus CSA</w:t>
            </w:r>
          </w:p>
        </w:tc>
        <w:tc>
          <w:tcPr>
            <w:tcW w:type="dxa" w:w="144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6–8 minggu</w:t>
            </w:r>
          </w:p>
        </w:tc>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1E8E63"/>
                <w:sz w:val="16"/>
                <w:szCs w:val="16"/>
              </w:rPr>
              <w:t xml:space="preserve">≤ 2 minggu</w:t>
            </w:r>
          </w:p>
        </w:tc>
        <w:tc>
          <w:tcPr>
            <w:tcW w:type="dxa" w:w="297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Distribusi &amp; penagihan otomatis berbasis SLA</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KPI-03</w:t>
            </w:r>
          </w:p>
        </w:tc>
        <w:tc>
          <w:tcPr>
            <w:tcW w:type="dxa" w:w="27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Kesimpulan pengujian yang memiliki bukti tertaut</w:t>
            </w:r>
          </w:p>
        </w:tc>
        <w:tc>
          <w:tcPr>
            <w:tcW w:type="dxa" w:w="144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Tidak terukur</w:t>
            </w:r>
          </w:p>
        </w:tc>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1E8E63"/>
                <w:sz w:val="16"/>
                <w:szCs w:val="16"/>
              </w:rPr>
              <w:t xml:space="preserve">100%</w:t>
            </w:r>
          </w:p>
        </w:tc>
        <w:tc>
          <w:tcPr>
            <w:tcW w:type="dxa" w:w="297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BRL-003 &amp; BRL-004 ditegakkan sistem</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KPI-04</w:t>
            </w:r>
          </w:p>
        </w:tc>
        <w:tc>
          <w:tcPr>
            <w:tcW w:type="dxa" w:w="27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Waktu agregasi &amp; klasifikasi defisiensi</w:t>
            </w:r>
          </w:p>
        </w:tc>
        <w:tc>
          <w:tcPr>
            <w:tcW w:type="dxa" w:w="144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5–10 hari kerja</w:t>
            </w:r>
          </w:p>
        </w:tc>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1E8E63"/>
                <w:sz w:val="16"/>
                <w:szCs w:val="16"/>
              </w:rPr>
              <w:t xml:space="preserve">Seketika</w:t>
            </w:r>
          </w:p>
        </w:tc>
        <w:tc>
          <w:tcPr>
            <w:tcW w:type="dxa" w:w="297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Perhitungan berkelanjutan</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KPI-05</w:t>
            </w:r>
          </w:p>
        </w:tc>
        <w:tc>
          <w:tcPr>
            <w:tcW w:type="dxa" w:w="27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Waktu penyusunan Laporan OJK (Pasal 8)</w:t>
            </w:r>
          </w:p>
        </w:tc>
        <w:tc>
          <w:tcPr>
            <w:tcW w:type="dxa" w:w="144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2–3 minggu</w:t>
            </w:r>
          </w:p>
        </w:tc>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1E8E63"/>
                <w:sz w:val="16"/>
                <w:szCs w:val="16"/>
              </w:rPr>
              <w:t xml:space="preserve">≤ 2 hari kerja</w:t>
            </w:r>
          </w:p>
        </w:tc>
        <w:tc>
          <w:tcPr>
            <w:tcW w:type="dxa" w:w="297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Dibangkitkan dari data pengujian</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KPI-06</w:t>
            </w:r>
          </w:p>
        </w:tc>
        <w:tc>
          <w:tcPr>
            <w:tcW w:type="dxa" w:w="27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Remediasi selesai tepat waktu</w:t>
            </w:r>
          </w:p>
        </w:tc>
        <w:tc>
          <w:tcPr>
            <w:tcW w:type="dxa" w:w="144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Tidak terpantau</w:t>
            </w:r>
          </w:p>
        </w:tc>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1E8E63"/>
                <w:sz w:val="16"/>
                <w:szCs w:val="16"/>
              </w:rPr>
              <w:t xml:space="preserve">≥ 90%</w:t>
            </w:r>
          </w:p>
        </w:tc>
        <w:tc>
          <w:tcPr>
            <w:tcW w:type="dxa" w:w="297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SLA + eskalasi otomatis</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KPI-07</w:t>
            </w:r>
          </w:p>
        </w:tc>
        <w:tc>
          <w:tcPr>
            <w:tcW w:type="dxa" w:w="27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Jam-orang penyusunan kertas kerja per siklus</w:t>
            </w:r>
          </w:p>
        </w:tc>
        <w:tc>
          <w:tcPr>
            <w:tcW w:type="dxa" w:w="144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Basis 100%</w:t>
            </w:r>
          </w:p>
        </w:tc>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1E8E63"/>
                <w:sz w:val="16"/>
                <w:szCs w:val="16"/>
              </w:rPr>
              <w:t xml:space="preserve">≤ 50%</w:t>
            </w:r>
          </w:p>
        </w:tc>
        <w:tc>
          <w:tcPr>
            <w:tcW w:type="dxa" w:w="297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Kertas kerja terbangkit dari RCM</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KPI-08</w:t>
            </w:r>
          </w:p>
        </w:tc>
        <w:tc>
          <w:tcPr>
            <w:tcW w:type="dxa" w:w="27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Temuan auditor eksternal atas kecukupan dokumentasi ICOFR</w:t>
            </w:r>
          </w:p>
        </w:tc>
        <w:tc>
          <w:tcPr>
            <w:tcW w:type="dxa" w:w="144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Bervariasi</w:t>
            </w:r>
          </w:p>
        </w:tc>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1E8E63"/>
                <w:sz w:val="16"/>
                <w:szCs w:val="16"/>
              </w:rPr>
              <w:t xml:space="preserve">Nihil</w:t>
            </w:r>
          </w:p>
        </w:tc>
        <w:tc>
          <w:tcPr>
            <w:tcW w:type="dxa" w:w="297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Bukti lengkap, tertaut, dapat ditelusuri</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KPI-09</w:t>
            </w:r>
          </w:p>
        </w:tc>
        <w:tc>
          <w:tcPr>
            <w:tcW w:type="dxa" w:w="27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Pengujian ganda atas pengendalian sama oleh fungsi berbeda</w:t>
            </w:r>
          </w:p>
        </w:tc>
        <w:tc>
          <w:tcPr>
            <w:tcW w:type="dxa" w:w="144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Sering</w:t>
            </w:r>
          </w:p>
        </w:tc>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1E8E63"/>
                <w:sz w:val="16"/>
                <w:szCs w:val="16"/>
              </w:rPr>
              <w:t xml:space="preserve">Nihil</w:t>
            </w:r>
          </w:p>
        </w:tc>
        <w:tc>
          <w:tcPr>
            <w:tcW w:type="dxa" w:w="297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Control library tunggal (BR-001)</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KPI-10</w:t>
            </w:r>
          </w:p>
        </w:tc>
        <w:tc>
          <w:tcPr>
            <w:tcW w:type="dxa" w:w="27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Waktu penemuan kembali bukti atas permintaan auditor</w:t>
            </w:r>
          </w:p>
        </w:tc>
        <w:tc>
          <w:tcPr>
            <w:tcW w:type="dxa" w:w="144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Jam hingga hari</w:t>
            </w:r>
          </w:p>
        </w:tc>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1E8E63"/>
                <w:sz w:val="16"/>
                <w:szCs w:val="16"/>
              </w:rPr>
              <w:t xml:space="preserve">≤ 1 menit</w:t>
            </w:r>
          </w:p>
        </w:tc>
        <w:tc>
          <w:tcPr>
            <w:tcW w:type="dxa" w:w="297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Pencarian terindeks + tautan langsung</w:t>
            </w:r>
          </w:p>
        </w:tc>
      </w:tr>
    </w:tbl>
    <w:p>
      <w:pPr>
        <w:spacing w:after="180" w:before="60"/>
        <w:jc w:val="left"/>
      </w:pPr>
      <w:r>
        <w:rPr>
          <w:rFonts w:ascii="Calibri" w:cs="Calibri" w:eastAsia="Calibri" w:hAnsi="Calibri"/>
          <w:i/>
          <w:iCs/>
          <w:color w:val="5C6B7E"/>
          <w:sz w:val="17"/>
          <w:szCs w:val="17"/>
        </w:rPr>
        <w:t xml:space="preserve">Tabel 11 — Sepuluh KPI keberhasilan.</w:t>
      </w:r>
    </w:p>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12. KRITERIA PENERIMAAN</w:t>
      </w:r>
    </w:p>
    <w:p>
      <w:pPr>
        <w:spacing w:after="120" w:line="276"/>
        <w:jc w:val="both"/>
      </w:pPr>
      <w:r>
        <w:rPr>
          <w:rFonts w:ascii="Calibri" w:cs="Calibri" w:eastAsia="Calibri" w:hAnsi="Calibri"/>
          <w:color w:val="20293A"/>
          <w:sz w:val="21"/>
          <w:szCs w:val="21"/>
        </w:rPr>
        <w:t xml:space="preserve">Platform dinyatakan diterima hanya bila seluruh kriteria berikut terpenuhi dan dapat dibuktikan. Kriteria yang gagal tidak dapat dikompensasi oleh kriteria lain yang terlampaui.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12"/>
        <w:gridCol w:w="8214"/>
      </w:tblGrid>
      <w:tr>
        <w:trPr>
          <w:tblHeader/>
        </w:trPr>
        <w:tc>
          <w:tcPr>
            <w:tcW w:type="dxa" w:w="81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ID</w:t>
            </w:r>
          </w:p>
        </w:tc>
        <w:tc>
          <w:tcPr>
            <w:tcW w:type="dxa" w:w="8214"/>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Kriteria Penerimaan</w:t>
            </w:r>
          </w:p>
        </w:tc>
      </w:tr>
      <w:tr>
        <w:tc>
          <w:tcPr>
            <w:tcW w:type="dxa" w:w="8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8"/>
                <w:szCs w:val="18"/>
              </w:rPr>
              <w:t xml:space="preserve">AC-01</w:t>
            </w:r>
          </w:p>
        </w:tc>
        <w:tc>
          <w:tcPr>
            <w:tcW w:type="dxa" w:w="821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Seluruh kebutuhan berkategori Must Have (54 dari 65) telah terimplementasi dan lulus UAT.</w:t>
            </w:r>
          </w:p>
        </w:tc>
      </w:tr>
      <w:tr>
        <w:tc>
          <w:tcPr>
            <w:tcW w:type="dxa" w:w="8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8"/>
                <w:szCs w:val="18"/>
              </w:rPr>
              <w:t xml:space="preserve">AC-02</w:t>
            </w:r>
          </w:p>
        </w:tc>
        <w:tc>
          <w:tcPr>
            <w:tcW w:type="dxa" w:w="821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Satu siklus ICOFR penuh — dari penetapan materialitas hingga atestasi — dapat dijalankan end-to-end di dalam platform tanpa keluar ke Excel atau surel.</w:t>
            </w:r>
          </w:p>
        </w:tc>
      </w:tr>
      <w:tr>
        <w:tc>
          <w:tcPr>
            <w:tcW w:type="dxa" w:w="8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8"/>
                <w:szCs w:val="18"/>
              </w:rPr>
              <w:t xml:space="preserve">AC-03</w:t>
            </w:r>
          </w:p>
        </w:tc>
        <w:tc>
          <w:tcPr>
            <w:tcW w:type="dxa" w:w="821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Seluruh 12 aturan bisnis (BRL-001 s.d. BRL-012) ditegakkan oleh sistem, bukan oleh disiplin pengguna. Diuji dengan skenario pelanggaran yang harus ditolak sistem.</w:t>
            </w:r>
          </w:p>
        </w:tc>
      </w:tr>
      <w:tr>
        <w:tc>
          <w:tcPr>
            <w:tcW w:type="dxa" w:w="8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8"/>
                <w:szCs w:val="18"/>
              </w:rPr>
              <w:t xml:space="preserve">AC-04</w:t>
            </w:r>
          </w:p>
        </w:tc>
        <w:tc>
          <w:tcPr>
            <w:tcW w:type="dxa" w:w="821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Laporan Pengendalian Internal untuk OJK (Pasal 8) dapat dibangkitkan, ditandatangani digital, dan diarsipkan dalam ≤ 2 hari kerja sejak data pengujian lengkap.</w:t>
            </w:r>
          </w:p>
        </w:tc>
      </w:tr>
      <w:tr>
        <w:tc>
          <w:tcPr>
            <w:tcW w:type="dxa" w:w="8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8"/>
                <w:szCs w:val="18"/>
              </w:rPr>
              <w:t xml:space="preserve">AC-05</w:t>
            </w:r>
          </w:p>
        </w:tc>
        <w:tc>
          <w:tcPr>
            <w:tcW w:type="dxa" w:w="821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Jejak audit tidak dapat diubah dibuktikan melalui uji penetrasi: peran Super Admin sekalipun gagal mengubah atau menghapus entri log.</w:t>
            </w:r>
          </w:p>
        </w:tc>
      </w:tr>
      <w:tr>
        <w:tc>
          <w:tcPr>
            <w:tcW w:type="dxa" w:w="8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8"/>
                <w:szCs w:val="18"/>
              </w:rPr>
              <w:t xml:space="preserve">AC-06</w:t>
            </w:r>
          </w:p>
        </w:tc>
        <w:tc>
          <w:tcPr>
            <w:tcW w:type="dxa" w:w="821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Auditor eksternal dapat menelusuri kesimpulan pengujian mana pun hingga ke bukti dasarnya dalam ≤ 3 klik.</w:t>
            </w:r>
          </w:p>
        </w:tc>
      </w:tr>
      <w:tr>
        <w:tc>
          <w:tcPr>
            <w:tcW w:type="dxa" w:w="8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8"/>
                <w:szCs w:val="18"/>
              </w:rPr>
              <w:t xml:space="preserve">AC-07</w:t>
            </w:r>
          </w:p>
        </w:tc>
        <w:tc>
          <w:tcPr>
            <w:tcW w:type="dxa" w:w="821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Process Owner dapat menyelesaikan CSA atas seluruh kontrol miliknya dari ponsel dalam satu sesi.</w:t>
            </w:r>
          </w:p>
        </w:tc>
      </w:tr>
      <w:tr>
        <w:tc>
          <w:tcPr>
            <w:tcW w:type="dxa" w:w="8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8"/>
                <w:szCs w:val="18"/>
              </w:rPr>
              <w:t xml:space="preserve">AC-08</w:t>
            </w:r>
          </w:p>
        </w:tc>
        <w:tc>
          <w:tcPr>
            <w:tcW w:type="dxa" w:w="821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Uji keamanan (OWASP ASVS Level 2) dan uji beban (sesuai NFR pada DOK-02) lulus tanpa temuan berkategori Tinggi atau Kritis.</w:t>
            </w:r>
          </w:p>
        </w:tc>
      </w:tr>
    </w:tbl>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13. ASUMSI, BATASAN &amp; KETERGANTUNGAN</w:t>
      </w:r>
    </w:p>
    <w:p>
      <w:pPr>
        <w:pStyle w:val="Heading2"/>
        <w:spacing w:after="120" w:before="260"/>
      </w:pPr>
      <w:r>
        <w:rPr>
          <w:rFonts w:ascii="Cambria" w:cs="Cambria" w:eastAsia="Cambria" w:hAnsi="Cambria"/>
          <w:b/>
          <w:bCs/>
          <w:color w:val="1B4A8A"/>
          <w:sz w:val="24"/>
          <w:szCs w:val="24"/>
        </w:rPr>
        <w:t xml:space="preserve">Asumsi</w:t>
      </w:r>
    </w:p>
    <w:p>
      <w:pPr>
        <w:pStyle w:val="ListParagraph"/>
        <w:numPr>
          <w:ilvl w:val="0"/>
          <w:numId w:val="3"/>
        </w:numPr>
        <w:spacing w:after="60" w:line="264"/>
        <w:jc w:val="both"/>
      </w:pPr>
      <w:r>
        <w:rPr>
          <w:rFonts w:ascii="Calibri" w:cs="Calibri" w:eastAsia="Calibri" w:hAnsi="Calibri"/>
          <w:color w:val="20293A"/>
          <w:sz w:val="21"/>
          <w:szCs w:val="21"/>
        </w:rPr>
        <w:t xml:space="preserve">Bank menyediakan narasumber berwenang (Process Owner, TI, Risiko, Kepatuhan, SKAI) dalam siklus reviu dan UAT.</w:t>
      </w:r>
    </w:p>
    <w:p>
      <w:pPr>
        <w:pStyle w:val="ListParagraph"/>
        <w:numPr>
          <w:ilvl w:val="0"/>
          <w:numId w:val="3"/>
        </w:numPr>
        <w:spacing w:after="60" w:line="264"/>
        <w:jc w:val="both"/>
      </w:pPr>
      <w:r>
        <w:rPr>
          <w:rFonts w:ascii="Calibri" w:cs="Calibri" w:eastAsia="Calibri" w:hAnsi="Calibri"/>
          <w:color w:val="20293A"/>
          <w:sz w:val="21"/>
          <w:szCs w:val="21"/>
        </w:rPr>
        <w:t xml:space="preserve">Data ICOFR yang telah tersedia (akun signifikan, BPM, RCM, ELC, ITGC) menjadi masukan kanonik dan tidak disusun ulang dari nol.</w:t>
      </w:r>
    </w:p>
    <w:p>
      <w:pPr>
        <w:pStyle w:val="ListParagraph"/>
        <w:numPr>
          <w:ilvl w:val="0"/>
          <w:numId w:val="3"/>
        </w:numPr>
        <w:spacing w:after="60" w:line="264"/>
        <w:jc w:val="both"/>
      </w:pPr>
      <w:r>
        <w:rPr>
          <w:rFonts w:ascii="Calibri" w:cs="Calibri" w:eastAsia="Calibri" w:hAnsi="Calibri"/>
          <w:color w:val="20293A"/>
          <w:sz w:val="21"/>
          <w:szCs w:val="21"/>
        </w:rPr>
        <w:t xml:space="preserve">Direktori identitas Bank mendukung SAML 2.0 atau OpenID Connect.</w:t>
      </w:r>
    </w:p>
    <w:p>
      <w:pPr>
        <w:pStyle w:val="ListParagraph"/>
        <w:numPr>
          <w:ilvl w:val="0"/>
          <w:numId w:val="3"/>
        </w:numPr>
        <w:spacing w:after="60" w:line="264"/>
        <w:jc w:val="both"/>
      </w:pPr>
      <w:r>
        <w:rPr>
          <w:rFonts w:ascii="Calibri" w:cs="Calibri" w:eastAsia="Calibri" w:hAnsi="Calibri"/>
          <w:color w:val="20293A"/>
          <w:sz w:val="21"/>
          <w:szCs w:val="21"/>
        </w:rPr>
        <w:t xml:space="preserve">Core Banking menyediakan antarmuka baca (API atau ekstraksi terjadwal) untuk populasi sampel dan saldo akun.</w:t>
      </w:r>
    </w:p>
    <w:p>
      <w:pPr>
        <w:pStyle w:val="Heading2"/>
        <w:spacing w:after="120" w:before="260"/>
      </w:pPr>
      <w:r>
        <w:rPr>
          <w:rFonts w:ascii="Cambria" w:cs="Cambria" w:eastAsia="Cambria" w:hAnsi="Cambria"/>
          <w:b/>
          <w:bCs/>
          <w:color w:val="1B4A8A"/>
          <w:sz w:val="24"/>
          <w:szCs w:val="24"/>
        </w:rPr>
        <w:t xml:space="preserve">Batasan</w:t>
      </w:r>
    </w:p>
    <w:p>
      <w:pPr>
        <w:pStyle w:val="ListParagraph"/>
        <w:numPr>
          <w:ilvl w:val="0"/>
          <w:numId w:val="3"/>
        </w:numPr>
        <w:spacing w:after="60" w:line="264"/>
        <w:jc w:val="both"/>
      </w:pPr>
      <w:r>
        <w:rPr>
          <w:rFonts w:ascii="Calibri" w:cs="Calibri" w:eastAsia="Calibri" w:hAnsi="Calibri"/>
          <w:color w:val="20293A"/>
          <w:sz w:val="21"/>
          <w:szCs w:val="21"/>
        </w:rPr>
        <w:t xml:space="preserve">Seluruh data dan pemrosesan wajib berada dalam yurisdiksi Indonesia (BR-005), termasuk inferensi model AI.</w:t>
      </w:r>
    </w:p>
    <w:p>
      <w:pPr>
        <w:pStyle w:val="ListParagraph"/>
        <w:numPr>
          <w:ilvl w:val="0"/>
          <w:numId w:val="3"/>
        </w:numPr>
        <w:spacing w:after="60" w:line="264"/>
        <w:jc w:val="both"/>
      </w:pPr>
      <w:r>
        <w:rPr>
          <w:rFonts w:ascii="Calibri" w:cs="Calibri" w:eastAsia="Calibri" w:hAnsi="Calibri"/>
          <w:color w:val="20293A"/>
          <w:sz w:val="21"/>
          <w:szCs w:val="21"/>
        </w:rPr>
        <w:t xml:space="preserve">Platform tidak menggantikan pertimbangan profesional. Keluaran AI selalu berstatus draf (BRL-010).</w:t>
      </w:r>
    </w:p>
    <w:p>
      <w:pPr>
        <w:pStyle w:val="ListParagraph"/>
        <w:numPr>
          <w:ilvl w:val="0"/>
          <w:numId w:val="3"/>
        </w:numPr>
        <w:spacing w:after="60" w:line="264"/>
        <w:jc w:val="both"/>
      </w:pPr>
      <w:r>
        <w:rPr>
          <w:rFonts w:ascii="Calibri" w:cs="Calibri" w:eastAsia="Calibri" w:hAnsi="Calibri"/>
          <w:color w:val="20293A"/>
          <w:sz w:val="21"/>
          <w:szCs w:val="21"/>
        </w:rPr>
        <w:t xml:space="preserve">Rilis 1 melayani satu entitas bank; multi-tenant di luar ruang lingkup.</w:t>
      </w:r>
    </w:p>
    <w:p>
      <w:pPr>
        <w:pStyle w:val="Heading2"/>
        <w:spacing w:after="120" w:before="260"/>
      </w:pPr>
      <w:r>
        <w:rPr>
          <w:rFonts w:ascii="Cambria" w:cs="Cambria" w:eastAsia="Cambria" w:hAnsi="Cambria"/>
          <w:b/>
          <w:bCs/>
          <w:color w:val="1B4A8A"/>
          <w:sz w:val="24"/>
          <w:szCs w:val="24"/>
        </w:rPr>
        <w:t xml:space="preserve">Ketergantungan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4242"/>
        <w:gridCol w:w="2257"/>
      </w:tblGrid>
      <w:tr>
        <w:trPr>
          <w:tblHeader/>
        </w:trPr>
        <w:tc>
          <w:tcPr>
            <w:tcW w:type="dxa" w:w="2527"/>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Ketergantungan</w:t>
            </w:r>
          </w:p>
        </w:tc>
        <w:tc>
          <w:tcPr>
            <w:tcW w:type="dxa" w:w="424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Dampak bila Tidak Terpenuhi</w:t>
            </w:r>
          </w:p>
        </w:tc>
        <w:tc>
          <w:tcPr>
            <w:tcW w:type="dxa" w:w="2257"/>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Pemilik</w:t>
            </w:r>
          </w:p>
        </w:tc>
      </w:tr>
      <w:tr>
        <w:tc>
          <w:tcPr>
            <w:tcW w:type="dxa" w:w="252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Kebijakan &amp; prosedur ICOFR yang telah ditetapkan Direksi</w:t>
            </w:r>
          </w:p>
        </w:tc>
        <w:tc>
          <w:tcPr>
            <w:tcW w:type="dxa" w:w="42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Alur persetujuan tidak dapat dikonfigurasi sesuai kewenangan yang berlaku.</w:t>
            </w:r>
          </w:p>
        </w:tc>
        <w:tc>
          <w:tcPr>
            <w:tcW w:type="dxa" w:w="225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Direksi / Sekretaris Perusahaan</w:t>
            </w:r>
          </w:p>
        </w:tc>
      </w:tr>
      <w:tr>
        <w:tc>
          <w:tcPr>
            <w:tcW w:type="dxa" w:w="252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Struktur UKK ICOFR yang telah dibentuk</w:t>
            </w:r>
          </w:p>
        </w:tc>
        <w:tc>
          <w:tcPr>
            <w:tcW w:type="dxa" w:w="42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Peran koordinator Lini 2 tidak memiliki pemilik; alur validasi terhenti.</w:t>
            </w:r>
          </w:p>
        </w:tc>
        <w:tc>
          <w:tcPr>
            <w:tcW w:type="dxa" w:w="225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Direksi</w:t>
            </w:r>
          </w:p>
        </w:tc>
      </w:tr>
      <w:tr>
        <w:tc>
          <w:tcPr>
            <w:tcW w:type="dxa" w:w="252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RCM &amp; BPM yang telah divalidasi Process Owner</w:t>
            </w:r>
          </w:p>
        </w:tc>
        <w:tc>
          <w:tcPr>
            <w:tcW w:type="dxa" w:w="42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Platform mewarisi data yang belum tervalidasi (risiko RB-02).</w:t>
            </w:r>
          </w:p>
        </w:tc>
        <w:tc>
          <w:tcPr>
            <w:tcW w:type="dxa" w:w="225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Process Owner / UKK ICOFR</w:t>
            </w:r>
          </w:p>
        </w:tc>
      </w:tr>
      <w:tr>
        <w:tc>
          <w:tcPr>
            <w:tcW w:type="dxa" w:w="252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Akses baca ke Core Banking &amp; General Ledger</w:t>
            </w:r>
          </w:p>
        </w:tc>
        <w:tc>
          <w:tcPr>
            <w:tcW w:type="dxa" w:w="42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Populasi sampel dan saldo akun harus diunggah manual; efisiensi berkurang, fungsi tetap berjalan.</w:t>
            </w:r>
          </w:p>
        </w:tc>
        <w:tc>
          <w:tcPr>
            <w:tcW w:type="dxa" w:w="225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Divisi TI</w:t>
            </w:r>
          </w:p>
        </w:tc>
      </w:tr>
      <w:tr>
        <w:tc>
          <w:tcPr>
            <w:tcW w:type="dxa" w:w="252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Infrastruktur dalam yurisdiksi Indonesia</w:t>
            </w:r>
          </w:p>
        </w:tc>
        <w:tc>
          <w:tcPr>
            <w:tcW w:type="dxa" w:w="42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BR-005 tidak terpenuhi; platform tidak dapat digelar.</w:t>
            </w:r>
          </w:p>
        </w:tc>
        <w:tc>
          <w:tcPr>
            <w:tcW w:type="dxa" w:w="225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Divisi TI</w:t>
            </w:r>
          </w:p>
        </w:tc>
      </w:tr>
    </w:tbl>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14. RISIKO BISNIS &amp; MITIGASI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32"/>
        <w:gridCol w:w="2888"/>
        <w:gridCol w:w="993"/>
        <w:gridCol w:w="4513"/>
      </w:tblGrid>
      <w:tr>
        <w:trPr>
          <w:tblHeader/>
        </w:trPr>
        <w:tc>
          <w:tcPr>
            <w:tcW w:type="dxa" w:w="63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ID</w:t>
            </w:r>
          </w:p>
        </w:tc>
        <w:tc>
          <w:tcPr>
            <w:tcW w:type="dxa" w:w="2888"/>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Risiko</w:t>
            </w:r>
          </w:p>
        </w:tc>
        <w:tc>
          <w:tcPr>
            <w:tcW w:type="dxa" w:w="993"/>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Tingkat</w:t>
            </w:r>
          </w:p>
        </w:tc>
        <w:tc>
          <w:tcPr>
            <w:tcW w:type="dxa" w:w="4513"/>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Mitigasi</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RB-01</w:t>
            </w:r>
          </w:p>
        </w:tc>
        <w:tc>
          <w:tcPr>
            <w:tcW w:type="dxa" w:w="288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Penolakan pengguna — Process Owner menganggap platform sebagai beban tambahan di atas pekerjaan utamanya.</w:t>
            </w:r>
          </w:p>
        </w:tc>
        <w:tc>
          <w:tcPr>
            <w:tcW w:type="dxa" w:w="99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C0392B"/>
                <w:sz w:val="16"/>
                <w:szCs w:val="16"/>
              </w:rPr>
              <w:t xml:space="preserve">Tinggi</w:t>
            </w:r>
          </w:p>
        </w:tc>
        <w:tc>
          <w:tcPr>
            <w:tcW w:type="dxa" w:w="451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CSA mobile-first yang lebih ringan daripada Excel hari ini; pra-isi dari periode sebelumnya; sorot hanya yang berubah. Adopsi diukur, bukan diasumsikan.</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RB-02</w:t>
            </w:r>
          </w:p>
        </w:tc>
        <w:tc>
          <w:tcPr>
            <w:tcW w:type="dxa" w:w="288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Kualitas data RCM awal buruk sehingga platform mewarisi kekacauan yang sama.</w:t>
            </w:r>
          </w:p>
        </w:tc>
        <w:tc>
          <w:tcPr>
            <w:tcW w:type="dxa" w:w="99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C0392B"/>
                <w:sz w:val="16"/>
                <w:szCs w:val="16"/>
              </w:rPr>
              <w:t xml:space="preserve">Tinggi</w:t>
            </w:r>
          </w:p>
        </w:tc>
        <w:tc>
          <w:tcPr>
            <w:tcW w:type="dxa" w:w="451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Validasi Process Owner atas BPM/RCM menjadi gerbang wajib sebelum migrasi. AI dipakai untuk menormalkan, bukan menyalin.</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RB-03</w:t>
            </w:r>
          </w:p>
        </w:tc>
        <w:tc>
          <w:tcPr>
            <w:tcW w:type="dxa" w:w="288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Ketergantungan berlebihan pada AI menggerus pertimbangan profesional penguji.</w:t>
            </w:r>
          </w:p>
        </w:tc>
        <w:tc>
          <w:tcPr>
            <w:tcW w:type="dxa" w:w="99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C0392B"/>
                <w:sz w:val="16"/>
                <w:szCs w:val="16"/>
              </w:rPr>
              <w:t xml:space="preserve">Sedang</w:t>
            </w:r>
          </w:p>
        </w:tc>
        <w:tc>
          <w:tcPr>
            <w:tcW w:type="dxa" w:w="451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BRL-010: keluaran AI selalu draf. Skor ICOFR tidak pernah dihitung dari data yang belum divalidasi manusia.</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RB-04</w:t>
            </w:r>
          </w:p>
        </w:tc>
        <w:tc>
          <w:tcPr>
            <w:tcW w:type="dxa" w:w="288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Integrasi Core Banking tertunda sehingga bukti ITGC tetap manual.</w:t>
            </w:r>
          </w:p>
        </w:tc>
        <w:tc>
          <w:tcPr>
            <w:tcW w:type="dxa" w:w="99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C0392B"/>
                <w:sz w:val="16"/>
                <w:szCs w:val="16"/>
              </w:rPr>
              <w:t xml:space="preserve">Sedang</w:t>
            </w:r>
          </w:p>
        </w:tc>
        <w:tc>
          <w:tcPr>
            <w:tcW w:type="dxa" w:w="451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Rilis 1 dirancang berfungsi penuh dengan unggah manual; integrasi otomatis adalah peningkatan, bukan prasyarat.</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RB-05</w:t>
            </w:r>
          </w:p>
        </w:tc>
        <w:tc>
          <w:tcPr>
            <w:tcW w:type="dxa" w:w="288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Platform justru menjadi silo baru di samping sistem risiko yang sudah ada.</w:t>
            </w:r>
          </w:p>
        </w:tc>
        <w:tc>
          <w:tcPr>
            <w:tcW w:type="dxa" w:w="99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C0392B"/>
                <w:sz w:val="16"/>
                <w:szCs w:val="16"/>
              </w:rPr>
              <w:t xml:space="preserve">Tinggi</w:t>
            </w:r>
          </w:p>
        </w:tc>
        <w:tc>
          <w:tcPr>
            <w:tcW w:type="dxa" w:w="451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BR-001 menetapkan taksonomi tunggal; migrasi register risiko eksisting masuk ruang lingkup Rilis 1.</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RB-06</w:t>
            </w:r>
          </w:p>
        </w:tc>
        <w:tc>
          <w:tcPr>
            <w:tcW w:type="dxa" w:w="288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Kebocoran data pengendalian internal — yang pada hakikatnya adalah peta kelemahan Bank.</w:t>
            </w:r>
          </w:p>
        </w:tc>
        <w:tc>
          <w:tcPr>
            <w:tcW w:type="dxa" w:w="99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C0392B"/>
                <w:sz w:val="16"/>
                <w:szCs w:val="16"/>
              </w:rPr>
              <w:t xml:space="preserve">Kritis</w:t>
            </w:r>
          </w:p>
        </w:tc>
        <w:tc>
          <w:tcPr>
            <w:tcW w:type="dxa" w:w="451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Klasifikasi kerahasiaan wajib, watermark dinamis, DLP, pembatasan unduh, dan jejak audit atas setiap akses dokumen defisiensi.</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auto" w:sz="0"/>
              <w:left w:val="single" w:color="C0891F" w:sz="24"/>
              <w:bottom w:val="none" w:color="auto" w:sz="0"/>
              <w:right w:val="none" w:color="auto" w:sz="0"/>
            </w:tcBorders>
            <w:shd w:fill="F6ECD4" w:color="auto" w:val="clear"/>
            <w:tcMar>
              <w:top w:type="dxa" w:w="100"/>
              <w:left w:type="dxa" w:w="160"/>
              <w:bottom w:type="dxa" w:w="100"/>
              <w:right w:type="dxa" w:w="140"/>
            </w:tcMar>
          </w:tcPr>
          <w:p>
            <w:pPr>
              <w:spacing w:after="60" w:before="40"/>
            </w:pPr>
            <w:r>
              <w:rPr>
                <w:rFonts w:ascii="Calibri" w:cs="Calibri" w:eastAsia="Calibri" w:hAnsi="Calibri"/>
                <w:b/>
                <w:bCs/>
                <w:color w:val="13366B"/>
                <w:sz w:val="20"/>
                <w:szCs w:val="20"/>
              </w:rPr>
              <w:t xml:space="preserve">Risiko yang Paling Sering Diabaikan</w:t>
            </w:r>
          </w:p>
          <w:p>
            <w:pPr>
              <w:spacing w:after="40" w:line="264"/>
              <w:jc w:val="both"/>
            </w:pPr>
            <w:r>
              <w:rPr>
                <w:rFonts w:ascii="Calibri" w:cs="Calibri" w:eastAsia="Calibri" w:hAnsi="Calibri"/>
                <w:color w:val="20293A"/>
                <w:sz w:val="19"/>
                <w:szCs w:val="19"/>
              </w:rPr>
              <w:t xml:space="preserve">RB-06 layak mendapat perhatian tersendiri. Basis data pengendalian internal — lengkap dengan daftar kelemahan, defisiensi terbuka, dan kontrol yang belum diuji — adalah peta jalan bagi siapa pun yang berniat merugikan Bank. Platform yang mengumpulkan seluruh informasi ini di satu tempat menciptakan konsentrasi risiko yang tidak ada sebelumnya, ketika informasi tersebar di banyak spreadsheet.</w:t>
            </w:r>
          </w:p>
          <w:p>
            <w:pPr>
              <w:spacing w:after="40" w:line="264"/>
              <w:jc w:val="both"/>
            </w:pPr>
            <w:r>
              <w:rPr>
                <w:rFonts w:ascii="Calibri" w:cs="Calibri" w:eastAsia="Calibri" w:hAnsi="Calibri"/>
                <w:color w:val="20293A"/>
                <w:sz w:val="19"/>
                <w:szCs w:val="19"/>
              </w:rPr>
              <w:t xml:space="preserve">Karena itu keamanan platform bukan kebutuhan non-fungsional biasa. Ia adalah kebutuhan bisnis tingkat pertama, dan diperlakukan demikian pada DOK-26 dan DOK-27.</w:t>
            </w:r>
          </w:p>
        </w:tc>
      </w:tr>
    </w:tbl>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LEMBAR PERSETUJUAN</w:t>
      </w:r>
    </w:p>
    <w:p>
      <w:pPr>
        <w:spacing w:after="120" w:line="276"/>
        <w:jc w:val="both"/>
      </w:pPr>
      <w:r>
        <w:rPr>
          <w:rFonts w:ascii="Calibri" w:cs="Calibri" w:eastAsia="Calibri" w:hAnsi="Calibri"/>
          <w:color w:val="20293A"/>
          <w:sz w:val="21"/>
          <w:szCs w:val="21"/>
        </w:rPr>
        <w:t xml:space="preserve">Dengan menandatangani lembar ini, para pihak menyatakan bahwa 65 kebutuhan bisnis (BR-001 s.d. BR-065), 12 aturan bisnis (BRL-001 s.d. BRL-012), dan 8 kriteria penerimaan (AC-01 s.d. AC-08) sebagaimana diuraikan dalam dokumen ini merupakan pernyataan kebutuhan yang lengkap dan mengikat, serta menjadi dasar penyusunan DOK-02 (SRS) dan DOK-03 (FRS).</w:t>
      </w:r>
    </w:p>
    <w:p>
      <w:pPr>
        <w:spacing w:after="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69"/>
        <w:gridCol w:w="2708"/>
        <w:gridCol w:w="3249"/>
      </w:tblGrid>
      <w:tr>
        <w:trPr>
          <w:tblHeader/>
        </w:trPr>
        <w:tc>
          <w:tcPr>
            <w:tcW w:type="dxa" w:w="3069"/>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Peran</w:t>
            </w:r>
          </w:p>
        </w:tc>
        <w:tc>
          <w:tcPr>
            <w:tcW w:type="dxa" w:w="2708"/>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Nama</w:t>
            </w:r>
          </w:p>
        </w:tc>
        <w:tc>
          <w:tcPr>
            <w:tcW w:type="dxa" w:w="3249"/>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Tanda Tangan &amp; Tanggal</w:t>
            </w:r>
          </w:p>
        </w:tc>
      </w:tr>
      <w:tr>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Disusun oleh</w:t>
            </w:r>
          </w:p>
          <w:p>
            <w:pPr>
              <w:spacing w:after="40" w:before="20" w:line="252"/>
              <w:jc w:val="left"/>
            </w:pPr>
            <w:r>
              <w:rPr>
                <w:rFonts w:ascii="Calibri" w:cs="Calibri" w:eastAsia="Calibri" w:hAnsi="Calibri"/>
                <w:color w:val="20293A"/>
                <w:sz w:val="18"/>
                <w:szCs w:val="18"/>
              </w:rPr>
              <w:t xml:space="preserve">Konsultan — The Millennials Institute</w:t>
            </w:r>
          </w:p>
        </w:tc>
        <w:tc>
          <w:tcPr>
            <w:tcW w:type="dxa" w:w="27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c>
          <w:tcPr>
            <w:tcW w:type="dxa" w:w="324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r>
      <w:tr>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Direviu oleh</w:t>
            </w:r>
          </w:p>
          <w:p>
            <w:pPr>
              <w:spacing w:after="40" w:before="20" w:line="252"/>
              <w:jc w:val="left"/>
            </w:pPr>
            <w:r>
              <w:rPr>
                <w:rFonts w:ascii="Calibri" w:cs="Calibri" w:eastAsia="Calibri" w:hAnsi="Calibri"/>
                <w:color w:val="20293A"/>
                <w:sz w:val="18"/>
                <w:szCs w:val="18"/>
              </w:rPr>
              <w:t xml:space="preserve">Product Owner / Ketua UKK ICOFR</w:t>
            </w:r>
          </w:p>
        </w:tc>
        <w:tc>
          <w:tcPr>
            <w:tcW w:type="dxa" w:w="27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c>
          <w:tcPr>
            <w:tcW w:type="dxa" w:w="324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r>
      <w:tr>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Direviu oleh</w:t>
            </w:r>
          </w:p>
          <w:p>
            <w:pPr>
              <w:spacing w:after="40" w:before="20" w:line="252"/>
              <w:jc w:val="left"/>
            </w:pPr>
            <w:r>
              <w:rPr>
                <w:rFonts w:ascii="Calibri" w:cs="Calibri" w:eastAsia="Calibri" w:hAnsi="Calibri"/>
                <w:color w:val="20293A"/>
                <w:sz w:val="18"/>
                <w:szCs w:val="18"/>
              </w:rPr>
              <w:t xml:space="preserve">Kepala Divisi Teknologi Informasi</w:t>
            </w:r>
          </w:p>
        </w:tc>
        <w:tc>
          <w:tcPr>
            <w:tcW w:type="dxa" w:w="27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c>
          <w:tcPr>
            <w:tcW w:type="dxa" w:w="324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r>
      <w:tr>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Direviu oleh</w:t>
            </w:r>
          </w:p>
          <w:p>
            <w:pPr>
              <w:spacing w:after="40" w:before="20" w:line="252"/>
              <w:jc w:val="left"/>
            </w:pPr>
            <w:r>
              <w:rPr>
                <w:rFonts w:ascii="Calibri" w:cs="Calibri" w:eastAsia="Calibri" w:hAnsi="Calibri"/>
                <w:color w:val="20293A"/>
                <w:sz w:val="18"/>
                <w:szCs w:val="18"/>
              </w:rPr>
              <w:t xml:space="preserve">Manajemen Risiko &amp; Kepatuhan</w:t>
            </w:r>
          </w:p>
        </w:tc>
        <w:tc>
          <w:tcPr>
            <w:tcW w:type="dxa" w:w="27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c>
          <w:tcPr>
            <w:tcW w:type="dxa" w:w="324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r>
      <w:tr>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Direviu oleh</w:t>
            </w:r>
          </w:p>
          <w:p>
            <w:pPr>
              <w:spacing w:after="40" w:before="20" w:line="252"/>
              <w:jc w:val="left"/>
            </w:pPr>
            <w:r>
              <w:rPr>
                <w:rFonts w:ascii="Calibri" w:cs="Calibri" w:eastAsia="Calibri" w:hAnsi="Calibri"/>
                <w:color w:val="20293A"/>
                <w:sz w:val="18"/>
                <w:szCs w:val="18"/>
              </w:rPr>
              <w:t xml:space="preserve">Kepala SKAI</w:t>
            </w:r>
          </w:p>
        </w:tc>
        <w:tc>
          <w:tcPr>
            <w:tcW w:type="dxa" w:w="27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c>
          <w:tcPr>
            <w:tcW w:type="dxa" w:w="324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r>
      <w:tr>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Disetujui oleh</w:t>
            </w:r>
          </w:p>
          <w:p>
            <w:pPr>
              <w:spacing w:after="40" w:before="20" w:line="252"/>
              <w:jc w:val="left"/>
            </w:pPr>
            <w:r>
              <w:rPr>
                <w:rFonts w:ascii="Calibri" w:cs="Calibri" w:eastAsia="Calibri" w:hAnsi="Calibri"/>
                <w:color w:val="20293A"/>
                <w:sz w:val="18"/>
                <w:szCs w:val="18"/>
              </w:rPr>
              <w:t xml:space="preserve">Sponsor Program (Direksi)</w:t>
            </w:r>
          </w:p>
        </w:tc>
        <w:tc>
          <w:tcPr>
            <w:tcW w:type="dxa" w:w="27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c>
          <w:tcPr>
            <w:tcW w:type="dxa" w:w="324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r>
    </w:tbl>
    <w:p>
      <w:pPr>
        <w:spacing w:after="200"/>
      </w:pPr>
    </w:p>
    <w:p>
      <w:pPr>
        <w:spacing w:after="120" w:line="276"/>
        <w:jc w:val="center"/>
      </w:pPr>
      <w:r>
        <w:rPr>
          <w:rFonts w:ascii="Calibri" w:cs="Calibri" w:eastAsia="Calibri" w:hAnsi="Calibri"/>
          <w:i/>
          <w:iCs/>
          <w:color w:val="5C6B7E"/>
          <w:sz w:val="21"/>
          <w:szCs w:val="21"/>
        </w:rPr>
        <w:t xml:space="preserve">— Akhir Dokumen DOK-01 —</w:t>
      </w:r>
    </w:p>
    <w:sectPr>
      <w:headerReference w:type="default" r:id="rId7"/>
      <w:footerReference w:type="default" r:id="rId8"/>
      <w:pgSz w:w="11906" w:h="16838" w:orient="portrait"/>
      <w:pgMar w:top="1440" w:right="1440" w:bottom="1440" w:left="1440" w:header="72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CEA" w:sz="6" w:space="4"/>
      </w:pBdr>
      <w:tabs>
        <w:tab w:val="right" w:pos="9026"/>
      </w:tabs>
      <w:spacing w:before="40"/>
    </w:pPr>
    <w:r>
      <w:rPr>
        <w:rFonts w:ascii="Calibri" w:cs="Calibri" w:eastAsia="Calibri" w:hAnsi="Calibri"/>
        <w:color w:val="5C6B7E"/>
        <w:sz w:val="15"/>
        <w:szCs w:val="15"/>
      </w:rPr>
      <w:t xml:space="preserve">DOK-01 · Business Requirement Document · v1.0 · The Millennials Institute</w:t>
    </w:r>
    <w:r>
      <w:tab/>
    </w:r>
    <w:r>
      <w:rPr>
        <w:rFonts w:ascii="Calibri" w:cs="Calibri" w:eastAsia="Calibri" w:hAnsi="Calibri"/>
        <w:color w:val="5C6B7E"/>
        <w:sz w:val="15"/>
        <w:szCs w:val="15"/>
      </w:rPr>
      <w:t xml:space="preserve">Hal. </w:t>
    </w:r>
    <w:r>
      <w:rPr>
        <w:rFonts w:ascii="Calibri" w:cs="Calibri" w:eastAsia="Calibri" w:hAnsi="Calibri"/>
        <w:b/>
        <w:bCs/>
        <w:color w:val="13366B"/>
        <w:sz w:val="15"/>
        <w:szCs w:val="15"/>
      </w:rPr>
      <w:fldChar w:fldCharType="begin"/>
      <w:instrText xml:space="preserve">PAGE</w:instrText>
      <w:fldChar w:fldCharType="separate"/>
      <w:fldChar w:fldCharType="end"/>
    </w:r>
    <w:r>
      <w:rPr>
        <w:rFonts w:ascii="Calibri" w:cs="Calibri" w:eastAsia="Calibri" w:hAnsi="Calibri"/>
        <w:color w:val="5C6B7E"/>
        <w:sz w:val="15"/>
        <w:szCs w:val="15"/>
      </w:rPr>
      <w:t xml:space="preserve"> / </w:t>
    </w:r>
    <w:r>
      <w:rPr>
        <w:rFonts w:ascii="Calibri" w:cs="Calibri" w:eastAsia="Calibri" w:hAnsi="Calibri"/>
        <w:color w:val="5C6B7E"/>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CEA" w:sz="6" w:space="4"/>
      </w:pBdr>
      <w:tabs>
        <w:tab w:val="right" w:pos="9026"/>
      </w:tabs>
      <w:spacing w:after="40"/>
    </w:pPr>
    <w:r>
      <w:rPr>
        <w:rFonts w:ascii="Calibri" w:cs="Calibri" w:eastAsia="Calibri" w:hAnsi="Calibri"/>
        <w:b/>
        <w:bCs/>
        <w:color w:val="13366B"/>
        <w:spacing w:val="20"/>
        <w:sz w:val="16"/>
        <w:szCs w:val="16"/>
      </w:rPr>
      <w:t xml:space="preserve">ICOP GRC PLATFORM</w:t>
    </w:r>
    <w:r>
      <w:tab/>
    </w:r>
    <w:r>
      <w:rPr>
        <w:rFonts w:ascii="Calibri" w:cs="Calibri" w:eastAsia="Calibri" w:hAnsi="Calibri"/>
        <w:color w:val="9C6C11"/>
        <w:sz w:val="16"/>
        <w:szCs w:val="16"/>
      </w:rPr>
      <w:t xml:space="preserve">RAHASIA &amp; TERBATAS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C0891F"/>
        <w:sz w:val="21"/>
        <w:szCs w:val="21"/>
      </w:rPr>
    </w:lvl>
    <w:lvl w:ilvl="1" w15:tentative="1">
      <w:start w:val="1"/>
      <w:numFmt w:val="bullet"/>
      <w:lvlText w:val="–"/>
      <w:lvlJc w:val="left"/>
      <w:pPr>
        <w:ind w:left="720" w:hanging="220"/>
      </w:pPr>
      <w:rPr>
        <w:color w:val="5C6B7E"/>
        <w:sz w:val="21"/>
        <w:szCs w:val="21"/>
      </w:rPr>
    </w:lvl>
  </w:abstractNum>
  <w:abstractNum w:abstractNumId="3" w15:restartNumberingAfterBreak="0">
    <w:multiLevelType w:val="hybridMultilevel"/>
    <w:lvl w:ilvl="0" w15:tentative="1">
      <w:start w:val="1"/>
      <w:numFmt w:val="decimal"/>
      <w:lvlText w:val="%1."/>
      <w:lvlJc w:val="left"/>
      <w:pPr>
        <w:ind w:left="400" w:hanging="260"/>
      </w:pPr>
      <w:rPr>
        <w:b/>
        <w:bCs/>
        <w:color w:val="13366B"/>
        <w:sz w:val="21"/>
        <w:szCs w:val="21"/>
      </w:rPr>
    </w:lvl>
    <w:lvl w:ilvl="1" w15:tentative="1">
      <w:start w:val="1"/>
      <w:numFmt w:val="lowerLetter"/>
      <w:lvlText w:val="%2."/>
      <w:lvlJc w:val="left"/>
      <w:pPr>
        <w:ind w:left="760" w:hanging="260"/>
      </w:pPr>
      <w:rPr>
        <w:color w:val="1B4A8A"/>
        <w:sz w:val="21"/>
        <w:szCs w:val="21"/>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9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mbria" w:cs="Cambria" w:eastAsia="Cambria" w:hAnsi="Cambria"/>
      <w:b/>
      <w:bCs/>
      <w:color w:val="13366B"/>
      <w:sz w:val="30"/>
      <w:szCs w:val="30"/>
    </w:rPr>
  </w:style>
  <w:style w:type="paragraph" w:styleId="Heading2">
    <w:name w:val="Heading 2"/>
    <w:basedOn w:val="Normal"/>
    <w:next w:val="Normal"/>
    <w:qFormat/>
    <w:rPr>
      <w:rFonts w:ascii="Cambria" w:cs="Cambria" w:eastAsia="Cambria" w:hAnsi="Cambria"/>
      <w:b/>
      <w:bCs/>
      <w:color w:val="1B4A8A"/>
      <w:sz w:val="24"/>
      <w:szCs w:val="24"/>
    </w:rPr>
  </w:style>
  <w:style w:type="paragraph" w:styleId="Heading3">
    <w:name w:val="Heading 3"/>
    <w:basedOn w:val="Normal"/>
    <w:next w:val="Normal"/>
    <w:qFormat/>
    <w:rPr>
      <w:rFonts w:ascii="Calibri" w:cs="Calibri" w:eastAsia="Calibri" w:hAnsi="Calibri"/>
      <w:b/>
      <w:bCs/>
      <w:color w:val="1E5AA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DOK-01 · Business Requirement Document · v1.0 · The Millennials Institute</dc:title>
  <dc:creator>The Millennials Institute</dc:creator>
  <cp:lastModifiedBy>Un-named</cp:lastModifiedBy>
  <cp:revision>1</cp:revision>
  <dcterms:created xsi:type="dcterms:W3CDTF">2026-07-12T00:05:55.531Z</dcterms:created>
  <dcterms:modified xsi:type="dcterms:W3CDTF">2026-07-12T00:05:55.532Z</dcterms:modified>
</cp:coreProperties>
</file>

<file path=docProps/custom.xml><?xml version="1.0" encoding="utf-8"?>
<Properties xmlns="http://schemas.openxmlformats.org/officeDocument/2006/custom-properties" xmlns:vt="http://schemas.openxmlformats.org/officeDocument/2006/docPropsVTypes"/>
</file>