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Calibri" w:cs="Calibri" w:eastAsia="Calibri" w:hAnsi="Calibri"/>
          <w:b/>
          <w:bCs/>
          <w:color w:val="9C6C11"/>
          <w:spacing w:val="40"/>
          <w:sz w:val="20"/>
          <w:szCs w:val="20"/>
        </w:rPr>
        <w:t xml:space="preserve">SERAYA INSTITUTE</w:t>
      </w:r>
    </w:p>
    <w:p>
      <w:pPr>
        <w:pBdr>
          <w:bottom w:val="single" w:color="C0891F" w:sz="12" w:space="8"/>
        </w:pBdr>
        <w:spacing w:after="700"/>
      </w:pPr>
      <w:r>
        <w:rPr>
          <w:rFonts w:ascii="Cambria" w:cs="Cambria" w:eastAsia="Cambria" w:hAnsi="Cambria"/>
          <w:i/>
          <w:iCs/>
          <w:color w:val="5C6B7E"/>
          <w:sz w:val="19"/>
          <w:szCs w:val="19"/>
        </w:rPr>
        <w:t xml:space="preserve">Developing Human For Better Futures</w:t>
      </w:r>
    </w:p>
    <w:p>
      <w:pPr>
        <w:spacing w:after="100"/>
      </w:pPr>
      <w:r>
        <w:rPr>
          <w:rFonts w:ascii="Calibri" w:cs="Calibri" w:eastAsia="Calibri" w:hAnsi="Calibri"/>
          <w:b/>
          <w:bCs/>
          <w:color w:val="9C6C11"/>
          <w:spacing w:val="30"/>
          <w:sz w:val="20"/>
          <w:szCs w:val="20"/>
        </w:rPr>
        <w:t xml:space="preserve">DOK-02</w:t>
      </w:r>
    </w:p>
    <w:p>
      <w:pPr>
        <w:spacing w:after="100"/>
        <w:jc w:val="left"/>
      </w:pPr>
      <w:r>
        <w:rPr>
          <w:rFonts w:ascii="Cambria" w:cs="Cambria" w:eastAsia="Cambria" w:hAnsi="Cambria"/>
          <w:b/>
          <w:bCs/>
          <w:color w:val="13366B"/>
          <w:sz w:val="44"/>
          <w:szCs w:val="44"/>
        </w:rPr>
        <w:t xml:space="preserve">SOFTWARE REQUIREMENT</w:t>
      </w:r>
    </w:p>
    <w:p>
      <w:pPr>
        <w:spacing w:after="500"/>
      </w:pPr>
      <w:r>
        <w:rPr>
          <w:rFonts w:ascii="Cambria" w:cs="Cambria" w:eastAsia="Cambria" w:hAnsi="Cambria"/>
          <w:color w:val="5C6B7E"/>
          <w:sz w:val="24"/>
          <w:szCs w:val="24"/>
        </w:rPr>
        <w:t xml:space="preserve">Specification (SRS) — Spesifikasi Kebutuhan Perangkat Lunak</w:t>
      </w:r>
    </w:p>
    <w:p>
      <w:pPr>
        <w:spacing w:after="60"/>
      </w:pPr>
      <w:r>
        <w:rPr>
          <w:rFonts w:ascii="Cambria" w:cs="Cambria" w:eastAsia="Cambria" w:hAnsi="Cambria"/>
          <w:b/>
          <w:bCs/>
          <w:color w:val="1E5AA8"/>
          <w:sz w:val="32"/>
          <w:szCs w:val="32"/>
        </w:rPr>
        <w:t xml:space="preserve">ICOP GRC PLATFORM</w:t>
      </w:r>
    </w:p>
    <w:p>
      <w:pPr>
        <w:spacing w:after="900"/>
      </w:pPr>
      <w:r>
        <w:rPr>
          <w:rFonts w:ascii="Calibri" w:cs="Calibri" w:eastAsia="Calibri" w:hAnsi="Calibri"/>
          <w:i/>
          <w:iCs/>
          <w:color w:val="5C6B7E"/>
          <w:sz w:val="19"/>
          <w:szCs w:val="19"/>
        </w:rPr>
        <w:t xml:space="preserve">Integrated Governance, Risk, Audit &amp; Compliance Platform  ·  Modul Utama: ICOFR Management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Kode Dokumen</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DOK-02</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Versi / Status</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1.0 / Baseline</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Tanggal</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12 Juli 2026</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Disusun oleh</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Seraya Institute — Tim Arsitektur &amp; Solusi GRC</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Klasifikasi</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RAHASIA &amp; TERBATAS — Internal Use Only</w:t>
            </w:r>
          </w:p>
        </w:tc>
      </w:tr>
    </w:tbl>
    <w:p>
      <w:pPr>
        <w:spacing w:before="700"/>
        <w:jc w:val="center"/>
      </w:pPr>
      <w:r>
        <w:rPr>
          <w:rFonts w:ascii="Calibri" w:cs="Calibri" w:eastAsia="Calibri" w:hAnsi="Calibri"/>
          <w:i/>
          <w:iCs/>
          <w:color w:val="5C6B7E"/>
          <w:sz w:val="16"/>
          <w:szCs w:val="16"/>
        </w:rPr>
        <w:t xml:space="preserve">Dokumen ini bersifat rahasia. Dilarang menggandakan, mendistribusikan, atau mengungkapkan isinya kepada pihak ketiga tanpa persetujuan tertulis.</w:t>
      </w:r>
    </w:p>
    <w:p>
      <w:r>
        <w:br w:type="page"/>
      </w:r>
    </w:p>
    <w:p>
      <w:pPr>
        <w:pStyle w:val="Heading1"/>
        <w:pBdr>
          <w:bottom w:val="single" w:color="C0891F" w:sz="12" w:space="6"/>
        </w:pBdr>
        <w:spacing w:after="200" w:before="0"/>
      </w:pPr>
      <w:r>
        <w:rPr>
          <w:rFonts w:ascii="Cambria" w:cs="Cambria" w:eastAsia="Cambria" w:hAnsi="Cambria"/>
          <w:b/>
          <w:bCs/>
          <w:color w:val="13366B"/>
          <w:sz w:val="30"/>
          <w:szCs w:val="30"/>
        </w:rPr>
        <w:t xml:space="preserve">DAFTAR ISI</w:t>
      </w:r>
    </w:p>
    <w:p>
      <w:pPr>
        <w:tabs>
          <w:tab w:val="right" w:pos="9026" w:leader="dot"/>
        </w:tabs>
        <w:spacing w:after="60" w:line="264"/>
        <w:ind w:left="0"/>
      </w:pPr>
      <w:r>
        <w:rPr>
          <w:rFonts w:ascii="Calibri" w:cs="Calibri" w:eastAsia="Calibri" w:hAnsi="Calibri"/>
          <w:b/>
          <w:bCs/>
          <w:color w:val="13366B"/>
          <w:sz w:val="20"/>
          <w:szCs w:val="20"/>
        </w:rPr>
        <w:t xml:space="preserve">KENDALI DOKUMEN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3</w:t>
      </w:r>
    </w:p>
    <w:p>
      <w:pPr>
        <w:tabs>
          <w:tab w:val="right" w:pos="9026" w:leader="dot"/>
        </w:tabs>
        <w:spacing w:after="60" w:line="264"/>
        <w:ind w:left="0"/>
      </w:pPr>
      <w:r>
        <w:rPr>
          <w:rFonts w:ascii="Calibri" w:cs="Calibri" w:eastAsia="Calibri" w:hAnsi="Calibri"/>
          <w:b/>
          <w:bCs/>
          <w:color w:val="13366B"/>
          <w:sz w:val="20"/>
          <w:szCs w:val="20"/>
        </w:rPr>
        <w:t xml:space="preserve">1. PENDAHULUAN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4</w:t>
      </w:r>
    </w:p>
    <w:p>
      <w:pPr>
        <w:tabs>
          <w:tab w:val="right" w:pos="9026" w:leader="dot"/>
        </w:tabs>
        <w:spacing w:after="30" w:line="264"/>
        <w:ind w:left="340"/>
      </w:pPr>
      <w:r>
        <w:rPr>
          <w:rFonts w:ascii="Calibri" w:cs="Calibri" w:eastAsia="Calibri" w:hAnsi="Calibri"/>
          <w:b w:val="false"/>
          <w:bCs w:val="false"/>
          <w:color w:val="20293A"/>
          <w:sz w:val="19"/>
          <w:szCs w:val="19"/>
        </w:rPr>
        <w:t xml:space="preserve">1.1 Tujuan &amp; Pembaca</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4</w:t>
      </w:r>
    </w:p>
    <w:p>
      <w:pPr>
        <w:tabs>
          <w:tab w:val="right" w:pos="9026" w:leader="dot"/>
        </w:tabs>
        <w:spacing w:after="30" w:line="264"/>
        <w:ind w:left="340"/>
      </w:pPr>
      <w:r>
        <w:rPr>
          <w:rFonts w:ascii="Calibri" w:cs="Calibri" w:eastAsia="Calibri" w:hAnsi="Calibri"/>
          <w:b w:val="false"/>
          <w:bCs w:val="false"/>
          <w:color w:val="20293A"/>
          <w:sz w:val="19"/>
          <w:szCs w:val="19"/>
        </w:rPr>
        <w:t xml:space="preserve">1.2 Ruang Lingkup Sistem</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4</w:t>
      </w:r>
    </w:p>
    <w:p>
      <w:pPr>
        <w:tabs>
          <w:tab w:val="right" w:pos="9026" w:leader="dot"/>
        </w:tabs>
        <w:spacing w:after="30" w:line="264"/>
        <w:ind w:left="340"/>
      </w:pPr>
      <w:r>
        <w:rPr>
          <w:rFonts w:ascii="Calibri" w:cs="Calibri" w:eastAsia="Calibri" w:hAnsi="Calibri"/>
          <w:b w:val="false"/>
          <w:bCs w:val="false"/>
          <w:color w:val="20293A"/>
          <w:sz w:val="19"/>
          <w:szCs w:val="19"/>
        </w:rPr>
        <w:t xml:space="preserve">1.3 Rujukan</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4</w:t>
      </w:r>
    </w:p>
    <w:p>
      <w:pPr>
        <w:tabs>
          <w:tab w:val="right" w:pos="9026" w:leader="dot"/>
        </w:tabs>
        <w:spacing w:after="60" w:line="264"/>
        <w:ind w:left="0"/>
      </w:pPr>
      <w:r>
        <w:rPr>
          <w:rFonts w:ascii="Calibri" w:cs="Calibri" w:eastAsia="Calibri" w:hAnsi="Calibri"/>
          <w:b/>
          <w:bCs/>
          <w:color w:val="13366B"/>
          <w:sz w:val="20"/>
          <w:szCs w:val="20"/>
        </w:rPr>
        <w:t xml:space="preserve">2. DESKRIPSI UMUM</w:t>
      </w:r>
      <w:r>
        <w:rPr>
          <w:rFonts w:ascii="Calibri" w:cs="Calibri" w:eastAsia="Calibri" w:hAnsi="Calibri"/>
          <w:color w:val="D3DCEA"/>
          <w:sz w:val="19"/>
          <w:szCs w:val="19"/>
        </w:rPr>
        <w:tab/>
      </w:r>
      <w:r>
        <w:rPr>
          <w:rFonts w:ascii="Calibri" w:cs="Calibri" w:eastAsia="Calibri" w:hAnsi="Calibri"/>
          <w:b/>
          <w:bCs/>
          <w:color w:val="13366B"/>
          <w:sz w:val="19"/>
          <w:szCs w:val="19"/>
        </w:rPr>
        <w:t xml:space="preserve">5</w:t>
      </w:r>
    </w:p>
    <w:p>
      <w:pPr>
        <w:tabs>
          <w:tab w:val="right" w:pos="9026" w:leader="dot"/>
        </w:tabs>
        <w:spacing w:after="30" w:line="264"/>
        <w:ind w:left="340"/>
      </w:pPr>
      <w:r>
        <w:rPr>
          <w:rFonts w:ascii="Calibri" w:cs="Calibri" w:eastAsia="Calibri" w:hAnsi="Calibri"/>
          <w:b w:val="false"/>
          <w:bCs w:val="false"/>
          <w:color w:val="20293A"/>
          <w:sz w:val="19"/>
          <w:szCs w:val="19"/>
        </w:rPr>
        <w:t xml:space="preserve">2.1 Perspektif Produk</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5</w:t>
      </w:r>
    </w:p>
    <w:p>
      <w:pPr>
        <w:tabs>
          <w:tab w:val="right" w:pos="9026" w:leader="dot"/>
        </w:tabs>
        <w:spacing w:after="30" w:line="264"/>
        <w:ind w:left="340"/>
      </w:pPr>
      <w:r>
        <w:rPr>
          <w:rFonts w:ascii="Calibri" w:cs="Calibri" w:eastAsia="Calibri" w:hAnsi="Calibri"/>
          <w:b w:val="false"/>
          <w:bCs w:val="false"/>
          <w:color w:val="20293A"/>
          <w:sz w:val="19"/>
          <w:szCs w:val="19"/>
        </w:rPr>
        <w:t xml:space="preserve">2.2 Arsitektur Lima Lapis</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5</w:t>
      </w:r>
    </w:p>
    <w:p>
      <w:pPr>
        <w:tabs>
          <w:tab w:val="right" w:pos="9026" w:leader="dot"/>
        </w:tabs>
        <w:spacing w:after="30" w:line="264"/>
        <w:ind w:left="340"/>
      </w:pPr>
      <w:r>
        <w:rPr>
          <w:rFonts w:ascii="Calibri" w:cs="Calibri" w:eastAsia="Calibri" w:hAnsi="Calibri"/>
          <w:b w:val="false"/>
          <w:bCs w:val="false"/>
          <w:color w:val="20293A"/>
          <w:sz w:val="19"/>
          <w:szCs w:val="19"/>
        </w:rPr>
        <w:t xml:space="preserve">2.3 Karakteristik Pengguna</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5</w:t>
      </w:r>
    </w:p>
    <w:p>
      <w:pPr>
        <w:tabs>
          <w:tab w:val="right" w:pos="9026" w:leader="dot"/>
        </w:tabs>
        <w:spacing w:after="30" w:line="264"/>
        <w:ind w:left="340"/>
      </w:pPr>
      <w:r>
        <w:rPr>
          <w:rFonts w:ascii="Calibri" w:cs="Calibri" w:eastAsia="Calibri" w:hAnsi="Calibri"/>
          <w:b w:val="false"/>
          <w:bCs w:val="false"/>
          <w:color w:val="20293A"/>
          <w:sz w:val="19"/>
          <w:szCs w:val="19"/>
        </w:rPr>
        <w:t xml:space="preserve">2.4 Batasan Perancangan</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6</w:t>
      </w:r>
    </w:p>
    <w:p>
      <w:pPr>
        <w:tabs>
          <w:tab w:val="right" w:pos="9026" w:leader="dot"/>
        </w:tabs>
        <w:spacing w:after="60" w:line="264"/>
        <w:ind w:left="0"/>
      </w:pPr>
      <w:r>
        <w:rPr>
          <w:rFonts w:ascii="Calibri" w:cs="Calibri" w:eastAsia="Calibri" w:hAnsi="Calibri"/>
          <w:b/>
          <w:bCs/>
          <w:color w:val="13366B"/>
          <w:sz w:val="20"/>
          <w:szCs w:val="20"/>
        </w:rPr>
        <w:t xml:space="preserve">3. KEBUTUHAN FUNGSIONAL</w:t>
      </w:r>
      <w:r>
        <w:rPr>
          <w:rFonts w:ascii="Calibri" w:cs="Calibri" w:eastAsia="Calibri" w:hAnsi="Calibri"/>
          <w:color w:val="D3DCEA"/>
          <w:sz w:val="19"/>
          <w:szCs w:val="19"/>
        </w:rPr>
        <w:tab/>
      </w:r>
      <w:r>
        <w:rPr>
          <w:rFonts w:ascii="Calibri" w:cs="Calibri" w:eastAsia="Calibri" w:hAnsi="Calibri"/>
          <w:b/>
          <w:bCs/>
          <w:color w:val="13366B"/>
          <w:sz w:val="19"/>
          <w:szCs w:val="19"/>
        </w:rPr>
        <w:t xml:space="preserve">7</w:t>
      </w:r>
    </w:p>
    <w:p>
      <w:pPr>
        <w:tabs>
          <w:tab w:val="right" w:pos="9026" w:leader="dot"/>
        </w:tabs>
        <w:spacing w:after="30" w:line="264"/>
        <w:ind w:left="340"/>
      </w:pPr>
      <w:r>
        <w:rPr>
          <w:rFonts w:ascii="Calibri" w:cs="Calibri" w:eastAsia="Calibri" w:hAnsi="Calibri"/>
          <w:b w:val="false"/>
          <w:bCs w:val="false"/>
          <w:color w:val="20293A"/>
          <w:sz w:val="19"/>
          <w:szCs w:val="19"/>
        </w:rPr>
        <w:t xml:space="preserve">3.1 Dashboard Executive (DSH)</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7</w:t>
      </w:r>
    </w:p>
    <w:p>
      <w:pPr>
        <w:tabs>
          <w:tab w:val="right" w:pos="9026" w:leader="dot"/>
        </w:tabs>
        <w:spacing w:after="30" w:line="264"/>
        <w:ind w:left="340"/>
      </w:pPr>
      <w:r>
        <w:rPr>
          <w:rFonts w:ascii="Calibri" w:cs="Calibri" w:eastAsia="Calibri" w:hAnsi="Calibri"/>
          <w:b w:val="false"/>
          <w:bCs w:val="false"/>
          <w:color w:val="20293A"/>
          <w:sz w:val="19"/>
          <w:szCs w:val="19"/>
        </w:rPr>
        <w:t xml:space="preserve">3.2 Governance (GOV)</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7</w:t>
      </w:r>
    </w:p>
    <w:p>
      <w:pPr>
        <w:tabs>
          <w:tab w:val="right" w:pos="9026" w:leader="dot"/>
        </w:tabs>
        <w:spacing w:after="30" w:line="264"/>
        <w:ind w:left="340"/>
      </w:pPr>
      <w:r>
        <w:rPr>
          <w:rFonts w:ascii="Calibri" w:cs="Calibri" w:eastAsia="Calibri" w:hAnsi="Calibri"/>
          <w:b w:val="false"/>
          <w:bCs w:val="false"/>
          <w:color w:val="20293A"/>
          <w:sz w:val="19"/>
          <w:szCs w:val="19"/>
        </w:rPr>
        <w:t xml:space="preserve">3.3 ICOFR Management System (ICF)</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8</w:t>
      </w:r>
    </w:p>
    <w:p>
      <w:pPr>
        <w:tabs>
          <w:tab w:val="right" w:pos="9026" w:leader="dot"/>
        </w:tabs>
        <w:spacing w:after="30" w:line="264"/>
        <w:ind w:left="340"/>
      </w:pPr>
      <w:r>
        <w:rPr>
          <w:rFonts w:ascii="Calibri" w:cs="Calibri" w:eastAsia="Calibri" w:hAnsi="Calibri"/>
          <w:b w:val="false"/>
          <w:bCs w:val="false"/>
          <w:color w:val="20293A"/>
          <w:sz w:val="19"/>
          <w:szCs w:val="19"/>
        </w:rPr>
        <w:t xml:space="preserve">3.4 Risiko: ERM, ORM, KRI, LED, INC</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11</w:t>
      </w:r>
    </w:p>
    <w:p>
      <w:pPr>
        <w:tabs>
          <w:tab w:val="right" w:pos="9026" w:leader="dot"/>
        </w:tabs>
        <w:spacing w:after="30" w:line="264"/>
        <w:ind w:left="340"/>
      </w:pPr>
      <w:r>
        <w:rPr>
          <w:rFonts w:ascii="Calibri" w:cs="Calibri" w:eastAsia="Calibri" w:hAnsi="Calibri"/>
          <w:b w:val="false"/>
          <w:bCs w:val="false"/>
          <w:color w:val="20293A"/>
          <w:sz w:val="19"/>
          <w:szCs w:val="19"/>
        </w:rPr>
        <w:t xml:space="preserve">3.5 Kepatuhan &amp; Kebijakan (CMP, POL)</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12</w:t>
      </w:r>
    </w:p>
    <w:p>
      <w:pPr>
        <w:tabs>
          <w:tab w:val="right" w:pos="9026" w:leader="dot"/>
        </w:tabs>
        <w:spacing w:after="30" w:line="264"/>
        <w:ind w:left="340"/>
      </w:pPr>
      <w:r>
        <w:rPr>
          <w:rFonts w:ascii="Calibri" w:cs="Calibri" w:eastAsia="Calibri" w:hAnsi="Calibri"/>
          <w:b w:val="false"/>
          <w:bCs w:val="false"/>
          <w:color w:val="20293A"/>
          <w:sz w:val="19"/>
          <w:szCs w:val="19"/>
        </w:rPr>
        <w:t xml:space="preserve">3.6 Teknologi: ITG, ITA, DMS</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13</w:t>
      </w:r>
    </w:p>
    <w:p>
      <w:pPr>
        <w:tabs>
          <w:tab w:val="right" w:pos="9026" w:leader="dot"/>
        </w:tabs>
        <w:spacing w:after="30" w:line="264"/>
        <w:ind w:left="340"/>
      </w:pPr>
      <w:r>
        <w:rPr>
          <w:rFonts w:ascii="Calibri" w:cs="Calibri" w:eastAsia="Calibri" w:hAnsi="Calibri"/>
          <w:b w:val="false"/>
          <w:bCs w:val="false"/>
          <w:color w:val="20293A"/>
          <w:sz w:val="19"/>
          <w:szCs w:val="19"/>
        </w:rPr>
        <w:t xml:space="preserve">3.7 Internal Audit (IAD)</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14</w:t>
      </w:r>
    </w:p>
    <w:p>
      <w:pPr>
        <w:tabs>
          <w:tab w:val="right" w:pos="9026" w:leader="dot"/>
        </w:tabs>
        <w:spacing w:after="30" w:line="264"/>
        <w:ind w:left="340"/>
      </w:pPr>
      <w:r>
        <w:rPr>
          <w:rFonts w:ascii="Calibri" w:cs="Calibri" w:eastAsia="Calibri" w:hAnsi="Calibri"/>
          <w:b w:val="false"/>
          <w:bCs w:val="false"/>
          <w:color w:val="20293A"/>
          <w:sz w:val="19"/>
          <w:szCs w:val="19"/>
        </w:rPr>
        <w:t xml:space="preserve">3.8 Reporting (RPT)</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14</w:t>
      </w:r>
    </w:p>
    <w:p>
      <w:pPr>
        <w:tabs>
          <w:tab w:val="right" w:pos="9026" w:leader="dot"/>
        </w:tabs>
        <w:spacing w:after="30" w:line="264"/>
        <w:ind w:left="340"/>
      </w:pPr>
      <w:r>
        <w:rPr>
          <w:rFonts w:ascii="Calibri" w:cs="Calibri" w:eastAsia="Calibri" w:hAnsi="Calibri"/>
          <w:b w:val="false"/>
          <w:bCs w:val="false"/>
          <w:color w:val="20293A"/>
          <w:sz w:val="19"/>
          <w:szCs w:val="19"/>
        </w:rPr>
        <w:t xml:space="preserve">3.9 AI Assistant (AIA)</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15</w:t>
      </w:r>
    </w:p>
    <w:p>
      <w:pPr>
        <w:tabs>
          <w:tab w:val="right" w:pos="9026" w:leader="dot"/>
        </w:tabs>
        <w:spacing w:after="30" w:line="264"/>
        <w:ind w:left="340"/>
      </w:pPr>
      <w:r>
        <w:rPr>
          <w:rFonts w:ascii="Calibri" w:cs="Calibri" w:eastAsia="Calibri" w:hAnsi="Calibri"/>
          <w:b w:val="false"/>
          <w:bCs w:val="false"/>
          <w:color w:val="20293A"/>
          <w:sz w:val="19"/>
          <w:szCs w:val="19"/>
        </w:rPr>
        <w:t xml:space="preserve">3.10 Administration &amp; Security (ADM)</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15</w:t>
      </w:r>
    </w:p>
    <w:p>
      <w:pPr>
        <w:tabs>
          <w:tab w:val="right" w:pos="9026" w:leader="dot"/>
        </w:tabs>
        <w:spacing w:after="60" w:line="264"/>
        <w:ind w:left="0"/>
      </w:pPr>
      <w:r>
        <w:rPr>
          <w:rFonts w:ascii="Calibri" w:cs="Calibri" w:eastAsia="Calibri" w:hAnsi="Calibri"/>
          <w:b/>
          <w:bCs/>
          <w:color w:val="13366B"/>
          <w:sz w:val="20"/>
          <w:szCs w:val="20"/>
        </w:rPr>
        <w:t xml:space="preserve">4. KEBUTUHAN NON-FUNGSIONAL</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17</w:t>
      </w:r>
    </w:p>
    <w:p>
      <w:pPr>
        <w:tabs>
          <w:tab w:val="right" w:pos="9026" w:leader="dot"/>
        </w:tabs>
        <w:spacing w:after="60" w:line="264"/>
        <w:ind w:left="0"/>
      </w:pPr>
      <w:r>
        <w:rPr>
          <w:rFonts w:ascii="Calibri" w:cs="Calibri" w:eastAsia="Calibri" w:hAnsi="Calibri"/>
          <w:b/>
          <w:bCs/>
          <w:color w:val="13366B"/>
          <w:sz w:val="20"/>
          <w:szCs w:val="20"/>
        </w:rPr>
        <w:t xml:space="preserve">5. KEBUTUHAN KEAMANAN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19</w:t>
      </w:r>
    </w:p>
    <w:p>
      <w:pPr>
        <w:tabs>
          <w:tab w:val="right" w:pos="9026" w:leader="dot"/>
        </w:tabs>
        <w:spacing w:after="60" w:line="264"/>
        <w:ind w:left="0"/>
      </w:pPr>
      <w:r>
        <w:rPr>
          <w:rFonts w:ascii="Calibri" w:cs="Calibri" w:eastAsia="Calibri" w:hAnsi="Calibri"/>
          <w:b/>
          <w:bCs/>
          <w:color w:val="13366B"/>
          <w:sz w:val="20"/>
          <w:szCs w:val="20"/>
        </w:rPr>
        <w:t xml:space="preserve">6. KEBUTUHAN AI</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22</w:t>
      </w:r>
    </w:p>
    <w:p>
      <w:pPr>
        <w:tabs>
          <w:tab w:val="right" w:pos="9026" w:leader="dot"/>
        </w:tabs>
        <w:spacing w:after="60" w:line="264"/>
        <w:ind w:left="0"/>
      </w:pPr>
      <w:r>
        <w:rPr>
          <w:rFonts w:ascii="Calibri" w:cs="Calibri" w:eastAsia="Calibri" w:hAnsi="Calibri"/>
          <w:b/>
          <w:bCs/>
          <w:color w:val="13366B"/>
          <w:sz w:val="20"/>
          <w:szCs w:val="20"/>
        </w:rPr>
        <w:t xml:space="preserve">7. KEBUTUHAN DATA</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23</w:t>
      </w:r>
    </w:p>
    <w:p>
      <w:pPr>
        <w:tabs>
          <w:tab w:val="right" w:pos="9026" w:leader="dot"/>
        </w:tabs>
        <w:spacing w:after="60" w:line="264"/>
        <w:ind w:left="0"/>
      </w:pPr>
      <w:r>
        <w:rPr>
          <w:rFonts w:ascii="Calibri" w:cs="Calibri" w:eastAsia="Calibri" w:hAnsi="Calibri"/>
          <w:b/>
          <w:bCs/>
          <w:color w:val="13366B"/>
          <w:sz w:val="20"/>
          <w:szCs w:val="20"/>
        </w:rPr>
        <w:t xml:space="preserve">8. KEBUTUHAN INTEGRASI</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24</w:t>
      </w:r>
    </w:p>
    <w:p>
      <w:pPr>
        <w:tabs>
          <w:tab w:val="right" w:pos="9026" w:leader="dot"/>
        </w:tabs>
        <w:spacing w:after="60" w:line="264"/>
        <w:ind w:left="0"/>
      </w:pPr>
      <w:r>
        <w:rPr>
          <w:rFonts w:ascii="Calibri" w:cs="Calibri" w:eastAsia="Calibri" w:hAnsi="Calibri"/>
          <w:b/>
          <w:bCs/>
          <w:color w:val="13366B"/>
          <w:sz w:val="20"/>
          <w:szCs w:val="20"/>
        </w:rPr>
        <w:t xml:space="preserve">9. WORKFLOW, SLA &amp; ESKALASI</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25</w:t>
      </w:r>
    </w:p>
    <w:p>
      <w:pPr>
        <w:tabs>
          <w:tab w:val="right" w:pos="9026" w:leader="dot"/>
        </w:tabs>
        <w:spacing w:after="60" w:line="264"/>
        <w:ind w:left="0"/>
      </w:pPr>
      <w:r>
        <w:rPr>
          <w:rFonts w:ascii="Calibri" w:cs="Calibri" w:eastAsia="Calibri" w:hAnsi="Calibri"/>
          <w:b/>
          <w:bCs/>
          <w:color w:val="13366B"/>
          <w:sz w:val="20"/>
          <w:szCs w:val="20"/>
        </w:rPr>
        <w:t xml:space="preserve">10. MATRIKS KETERTELUSURAN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26</w:t>
      </w:r>
    </w:p>
    <w:p>
      <w:pPr>
        <w:tabs>
          <w:tab w:val="right" w:pos="9026" w:leader="dot"/>
        </w:tabs>
        <w:spacing w:after="60" w:line="264"/>
        <w:ind w:left="0"/>
      </w:pPr>
      <w:r>
        <w:rPr>
          <w:rFonts w:ascii="Calibri" w:cs="Calibri" w:eastAsia="Calibri" w:hAnsi="Calibri"/>
          <w:b/>
          <w:bCs/>
          <w:color w:val="13366B"/>
          <w:sz w:val="20"/>
          <w:szCs w:val="20"/>
        </w:rPr>
        <w:t xml:space="preserve">11. KRITERIA PENERIMAAN TEKNIS</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27</w:t>
      </w:r>
    </w:p>
    <w:p>
      <w:pPr>
        <w:tabs>
          <w:tab w:val="right" w:pos="9026" w:leader="dot"/>
        </w:tabs>
        <w:spacing w:after="60" w:line="264"/>
        <w:ind w:left="0"/>
      </w:pPr>
      <w:r>
        <w:rPr>
          <w:rFonts w:ascii="Calibri" w:cs="Calibri" w:eastAsia="Calibri" w:hAnsi="Calibri"/>
          <w:b/>
          <w:bCs/>
          <w:color w:val="13366B"/>
          <w:sz w:val="20"/>
          <w:szCs w:val="20"/>
        </w:rPr>
        <w:t xml:space="preserve">LEMBAR PERSETUJUAN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28</w:t>
      </w:r>
    </w:p>
    <w:p>
      <w:r>
        <w:br w:type="page"/>
      </w:r>
    </w:p>
    <w:p>
      <w:pPr>
        <w:pStyle w:val="Heading1"/>
        <w:pBdr>
          <w:bottom w:val="single" w:color="C0891F" w:sz="12" w:space="6"/>
        </w:pBdr>
        <w:spacing w:after="200" w:before="0"/>
      </w:pPr>
      <w:r>
        <w:rPr>
          <w:rFonts w:ascii="Cambria" w:cs="Cambria" w:eastAsia="Cambria" w:hAnsi="Cambria"/>
          <w:b/>
          <w:bCs/>
          <w:color w:val="13366B"/>
          <w:sz w:val="30"/>
          <w:szCs w:val="30"/>
        </w:rPr>
        <w:t xml:space="preserve">KENDALI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Nama Dokumen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Software Requirement Specification (SRS)</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Kode Dokumen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DOK-02</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Batch</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B1 — Fondasi Bisnis &amp; Sistem</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Bergantung Pada</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DOK-00 (Master Plan) · DOK-01 (BRD) — keduanya Baseline</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Menjadi Dasar Bagi</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DOK-03 (FRS) · DOK-04 (TRS) · DOK-05 (Data Dictionary) · DOK-34 (Test Plan)</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Versi / Status</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1.0 / Baseline</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Tanggal Terbit</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12 Juli 2026</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Penyusun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Seraya Institute</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Klasifikasi</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Rahasia &amp; Terbatas</w:t>
            </w:r>
          </w:p>
        </w:tc>
      </w:tr>
    </w:tbl>
    <w:p>
      <w:pPr>
        <w:spacing w:after="240"/>
      </w:pPr>
    </w:p>
    <w:p>
      <w:pPr>
        <w:pStyle w:val="Heading2"/>
        <w:spacing w:after="120" w:before="260"/>
      </w:pPr>
      <w:r>
        <w:rPr>
          <w:rFonts w:ascii="Cambria" w:cs="Cambria" w:eastAsia="Cambria" w:hAnsi="Cambria"/>
          <w:b/>
          <w:bCs/>
          <w:color w:val="1B4A8A"/>
          <w:sz w:val="24"/>
          <w:szCs w:val="24"/>
        </w:rPr>
        <w:t xml:space="preserve">Riwayat Revisi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1444"/>
        <w:gridCol w:w="5235"/>
        <w:gridCol w:w="1444"/>
      </w:tblGrid>
      <w:tr>
        <w:trPr>
          <w:tblHeader/>
        </w:trPr>
        <w:tc>
          <w:tcPr>
            <w:tcW w:type="dxa" w:w="90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Versi</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Tanggal</w:t>
            </w:r>
          </w:p>
        </w:tc>
        <w:tc>
          <w:tcPr>
            <w:tcW w:type="dxa" w:w="523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Deskripsi Perubahan</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Penyusun</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0.1</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12 Juli 2026</w:t>
            </w:r>
          </w:p>
        </w:tc>
        <w:tc>
          <w:tcPr>
            <w:tcW w:type="dxa" w:w="523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Draf awal — arsitektur lima lapis &amp; kerangka kebutuhan fungsional.</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SI</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1.0</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12 Juli 2026</w:t>
            </w:r>
          </w:p>
        </w:tc>
        <w:tc>
          <w:tcPr>
            <w:tcW w:type="dxa" w:w="523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Baseline — 155 kebutuhan fungsional, 32 NFR, 35 kebutuhan keamanan, 12 kebutuhan AI, 10 kebutuhan data, 10 integrasi, 10 workflow &amp; SLA.</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SI</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 PENDAHULUAN</w:t>
      </w:r>
    </w:p>
    <w:p>
      <w:pPr>
        <w:pStyle w:val="Heading2"/>
        <w:spacing w:after="120" w:before="260"/>
      </w:pPr>
      <w:r>
        <w:rPr>
          <w:rFonts w:ascii="Cambria" w:cs="Cambria" w:eastAsia="Cambria" w:hAnsi="Cambria"/>
          <w:b/>
          <w:bCs/>
          <w:color w:val="1B4A8A"/>
          <w:sz w:val="24"/>
          <w:szCs w:val="24"/>
        </w:rPr>
        <w:t xml:space="preserve">1.1 Tujuan &amp; Pembaca</w:t>
      </w:r>
    </w:p>
    <w:p>
      <w:pPr>
        <w:spacing w:after="120" w:line="276"/>
        <w:jc w:val="both"/>
      </w:pPr>
      <w:r>
        <w:rPr>
          <w:rFonts w:ascii="Calibri" w:cs="Calibri" w:eastAsia="Calibri" w:hAnsi="Calibri"/>
          <w:color w:val="20293A"/>
          <w:sz w:val="21"/>
          <w:szCs w:val="21"/>
        </w:rPr>
        <w:t xml:space="preserve">Dokumen ini menerjemahkan 65 kebutuhan bisnis pada DOK-01 menjadi spesifikasi kebutuhan perangkat lunak yang dapat dirancang, dibangun, dan diuji. Ia menjadi kontrak antara pihak yang memesan sistem dan pihak yang membangunnya: apa yang tidak tertulis di sini tidak akan dibangun, dan apa yang tertulis di sini harus dapat diuji secara objektif.</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rPr>
          <w:tblHeader/>
        </w:trPr>
        <w:tc>
          <w:tcPr>
            <w:tcW w:type="dxa" w:w="234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Pembaca</w:t>
            </w:r>
          </w:p>
        </w:tc>
        <w:tc>
          <w:tcPr>
            <w:tcW w:type="dxa" w:w="667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Bagian yang Paling Relevan</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Product Owner / UKK ICOFR</w:t>
            </w:r>
          </w:p>
        </w:tc>
        <w:tc>
          <w:tcPr>
            <w:tcW w:type="dxa" w:w="667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Bab 3 (kebutuhan fungsional) dan Bab 10 (ketertelusuran ke BR).</w:t>
            </w:r>
          </w:p>
        </w:tc>
      </w:tr>
      <w:tr>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Arsitek &amp; Pengembang</w:t>
            </w:r>
          </w:p>
        </w:tc>
        <w:tc>
          <w:tcPr>
            <w:tcW w:type="dxa" w:w="667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Bab 2 (arsitektur), Bab 3–9 (seluruh kebutuhan), dan DOK-04 (TRS).</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Tim Keamanan (CISO)</w:t>
            </w:r>
          </w:p>
        </w:tc>
        <w:tc>
          <w:tcPr>
            <w:tcW w:type="dxa" w:w="667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Bab 5 (35 kebutuhan keamanan) dan Bab 6 (kebutuhan AI).</w:t>
            </w:r>
          </w:p>
        </w:tc>
      </w:tr>
      <w:tr>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Tim Pengujian</w:t>
            </w:r>
          </w:p>
        </w:tc>
        <w:tc>
          <w:tcPr>
            <w:tcW w:type="dxa" w:w="667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Bab 3, Bab 4, dan Bab 11 (kriteria penerimaan teknis).</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SKAI &amp; Auditor Eksternal</w:t>
            </w:r>
          </w:p>
        </w:tc>
        <w:tc>
          <w:tcPr>
            <w:tcW w:type="dxa" w:w="667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Bab 5, Bab 7 (kebutuhan data &amp; jejak audit), Bab 10.</w:t>
            </w:r>
          </w:p>
        </w:tc>
      </w:tr>
    </w:tbl>
    <w:p>
      <w:pPr>
        <w:pStyle w:val="Heading2"/>
        <w:spacing w:after="120" w:before="260"/>
      </w:pPr>
      <w:r>
        <w:rPr>
          <w:rFonts w:ascii="Cambria" w:cs="Cambria" w:eastAsia="Cambria" w:hAnsi="Cambria"/>
          <w:b/>
          <w:bCs/>
          <w:color w:val="1B4A8A"/>
          <w:sz w:val="24"/>
          <w:szCs w:val="24"/>
        </w:rPr>
        <w:t xml:space="preserve">1.2 Ruang Lingkup Sistem</w:t>
      </w:r>
    </w:p>
    <w:p>
      <w:pPr>
        <w:spacing w:after="120" w:line="276"/>
        <w:jc w:val="both"/>
      </w:pPr>
      <w:r>
        <w:rPr>
          <w:rFonts w:ascii="Calibri" w:cs="Calibri" w:eastAsia="Calibri" w:hAnsi="Calibri"/>
          <w:b/>
          <w:bCs/>
          <w:color w:val="20293A"/>
          <w:sz w:val="21"/>
          <w:szCs w:val="21"/>
        </w:rPr>
        <w:t xml:space="preserve">ICOP GRC Platform </w:t>
      </w:r>
      <w:r>
        <w:rPr>
          <w:rFonts w:ascii="Calibri" w:cs="Calibri" w:eastAsia="Calibri" w:hAnsi="Calibri"/>
          <w:color w:val="20293A"/>
          <w:sz w:val="21"/>
          <w:szCs w:val="21"/>
        </w:rPr>
        <w:t xml:space="preserve">mencakup 17 modul yang beroperasi di atas satu control library tunggal. Sistem ini menggantikan pengelolaan pengendalian internal berbasis spreadsheet dan surel, namun </w:t>
      </w:r>
      <w:r>
        <w:rPr>
          <w:rFonts w:ascii="Calibri" w:cs="Calibri" w:eastAsia="Calibri" w:hAnsi="Calibri"/>
          <w:b/>
          <w:bCs/>
          <w:i/>
          <w:iCs/>
          <w:color w:val="20293A"/>
          <w:sz w:val="21"/>
          <w:szCs w:val="21"/>
        </w:rPr>
        <w:t xml:space="preserve">tidak</w:t>
      </w:r>
      <w:r>
        <w:rPr>
          <w:rFonts w:ascii="Calibri" w:cs="Calibri" w:eastAsia="Calibri" w:hAnsi="Calibri"/>
          <w:color w:val="20293A"/>
          <w:sz w:val="21"/>
          <w:szCs w:val="21"/>
        </w:rPr>
        <w:t xml:space="preserve"> menggantikan sistem Core Banking, General Ledger, atau HR — ia mengonsumsi data dari sistem-sistem tersebut.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6"/>
        <w:gridCol w:w="7040"/>
      </w:tblGrid>
      <w:tr>
        <w:trPr>
          <w:tblHeader/>
        </w:trPr>
        <w:tc>
          <w:tcPr>
            <w:tcW w:type="dxa" w:w="198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Aspek</w:t>
            </w:r>
          </w:p>
        </w:tc>
        <w:tc>
          <w:tcPr>
            <w:tcW w:type="dxa" w:w="704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Ketetapan</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Modul</w:t>
            </w:r>
          </w:p>
        </w:tc>
        <w:tc>
          <w:tcPr>
            <w:tcW w:type="dxa" w:w="704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17 modul (DOK-00 §2.2): DSH, GOV, ICF, ERM, ORM, KRI, LED, INC, CMP, POL, ITG, ITA, DMS, IAD, RPT, AIA, ADM.</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Kebutuhan fungsional</w:t>
            </w:r>
          </w:p>
        </w:tc>
        <w:tc>
          <w:tcPr>
            <w:tcW w:type="dxa" w:w="704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155 FR bernomor, tertaut ke kebutuhan bisnis induknya.</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Kebutuhan non-fungsional</w:t>
            </w:r>
          </w:p>
        </w:tc>
        <w:tc>
          <w:tcPr>
            <w:tcW w:type="dxa" w:w="704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32 NFR dengan target terukur — tanpa target, kebutuhan dianggap tidak dapat diuji dan ditolak.</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Kebutuhan keamanan</w:t>
            </w:r>
          </w:p>
        </w:tc>
        <w:tc>
          <w:tcPr>
            <w:tcW w:type="dxa" w:w="704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35 SEC yang mengoperasionalkan prinsip Zero Trust (P-06).</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Antarmuka eksternal</w:t>
            </w:r>
          </w:p>
        </w:tc>
        <w:tc>
          <w:tcPr>
            <w:tcW w:type="dxa" w:w="704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10 titik integrasi (Bab 8).</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Di luar ruang lingkup</w:t>
            </w:r>
          </w:p>
        </w:tc>
        <w:tc>
          <w:tcPr>
            <w:tcW w:type="dxa" w:w="704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Multi-tenant, konsolidasi lintas entitas anak, penggantian sistem inti, e-learning SCORM.</w:t>
            </w:r>
          </w:p>
        </w:tc>
      </w:tr>
    </w:tbl>
    <w:p>
      <w:pPr>
        <w:pStyle w:val="Heading2"/>
        <w:spacing w:after="120" w:before="260"/>
      </w:pPr>
      <w:r>
        <w:rPr>
          <w:rFonts w:ascii="Cambria" w:cs="Cambria" w:eastAsia="Cambria" w:hAnsi="Cambria"/>
          <w:b/>
          <w:bCs/>
          <w:color w:val="1B4A8A"/>
          <w:sz w:val="24"/>
          <w:szCs w:val="24"/>
        </w:rPr>
        <w:t xml:space="preserve">1.3 Rujukan</w:t>
      </w:r>
    </w:p>
    <w:p>
      <w:pPr>
        <w:pStyle w:val="ListParagraph"/>
        <w:numPr>
          <w:ilvl w:val="0"/>
          <w:numId w:val="2"/>
        </w:numPr>
        <w:spacing w:after="60" w:line="264"/>
        <w:jc w:val="both"/>
      </w:pPr>
      <w:r>
        <w:rPr>
          <w:rFonts w:ascii="Calibri" w:cs="Calibri" w:eastAsia="Calibri" w:hAnsi="Calibri"/>
          <w:color w:val="20293A"/>
          <w:sz w:val="21"/>
          <w:szCs w:val="21"/>
        </w:rPr>
        <w:t xml:space="preserve">DOK-00 — Master Plan (konvensi penomoran, kode modul, prinsip arsitektur).</w:t>
      </w:r>
    </w:p>
    <w:p>
      <w:pPr>
        <w:pStyle w:val="ListParagraph"/>
        <w:numPr>
          <w:ilvl w:val="0"/>
          <w:numId w:val="2"/>
        </w:numPr>
        <w:spacing w:after="60" w:line="264"/>
        <w:jc w:val="both"/>
      </w:pPr>
      <w:r>
        <w:rPr>
          <w:rFonts w:ascii="Calibri" w:cs="Calibri" w:eastAsia="Calibri" w:hAnsi="Calibri"/>
          <w:color w:val="20293A"/>
          <w:sz w:val="21"/>
          <w:szCs w:val="21"/>
        </w:rPr>
        <w:t xml:space="preserve">DOK-01 — Business Requirement Document (BR-001 s.d. BR-065; BRL-001 s.d. BRL-012).</w:t>
      </w:r>
    </w:p>
    <w:p>
      <w:pPr>
        <w:pStyle w:val="ListParagraph"/>
        <w:numPr>
          <w:ilvl w:val="0"/>
          <w:numId w:val="2"/>
        </w:numPr>
        <w:spacing w:after="60" w:line="264"/>
        <w:jc w:val="both"/>
      </w:pPr>
      <w:r>
        <w:rPr>
          <w:rFonts w:ascii="Calibri" w:cs="Calibri" w:eastAsia="Calibri" w:hAnsi="Calibri"/>
          <w:color w:val="20293A"/>
          <w:sz w:val="21"/>
          <w:szCs w:val="21"/>
        </w:rPr>
        <w:t xml:space="preserve">POJK No. 15 Tahun 2024; COSO Internal Control (2013); COSO ERM (2017); Three Lines Model (IIA, 2020).</w:t>
      </w:r>
    </w:p>
    <w:p>
      <w:pPr>
        <w:pStyle w:val="ListParagraph"/>
        <w:numPr>
          <w:ilvl w:val="0"/>
          <w:numId w:val="2"/>
        </w:numPr>
        <w:spacing w:after="60" w:line="264"/>
        <w:jc w:val="both"/>
      </w:pPr>
      <w:r>
        <w:rPr>
          <w:rFonts w:ascii="Calibri" w:cs="Calibri" w:eastAsia="Calibri" w:hAnsi="Calibri"/>
          <w:color w:val="20293A"/>
          <w:sz w:val="21"/>
          <w:szCs w:val="21"/>
        </w:rPr>
        <w:t xml:space="preserve">SOX 404; PCAOB AS 2201; COBIT 2019; ISO/IEC 27001:2022; ISO 22301; ISO 37301; ISO 31000.</w:t>
      </w:r>
    </w:p>
    <w:p>
      <w:pPr>
        <w:pStyle w:val="ListParagraph"/>
        <w:numPr>
          <w:ilvl w:val="0"/>
          <w:numId w:val="2"/>
        </w:numPr>
        <w:spacing w:after="60" w:line="264"/>
        <w:jc w:val="both"/>
      </w:pPr>
      <w:r>
        <w:rPr>
          <w:rFonts w:ascii="Calibri" w:cs="Calibri" w:eastAsia="Calibri" w:hAnsi="Calibri"/>
          <w:color w:val="20293A"/>
          <w:sz w:val="21"/>
          <w:szCs w:val="21"/>
        </w:rPr>
        <w:t xml:space="preserve">NIST CSF 2.0; NIST SP 800-53 Rev.5; NIST SP 800-207 (Zero Trust); OWASP Top 10 &amp; ASVS; CIS Benchmarks.</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2. DESKRIPSI UMUM</w:t>
      </w:r>
    </w:p>
    <w:p>
      <w:pPr>
        <w:pStyle w:val="Heading2"/>
        <w:spacing w:after="120" w:before="260"/>
      </w:pPr>
      <w:r>
        <w:rPr>
          <w:rFonts w:ascii="Cambria" w:cs="Cambria" w:eastAsia="Cambria" w:hAnsi="Cambria"/>
          <w:b/>
          <w:bCs/>
          <w:color w:val="1B4A8A"/>
          <w:sz w:val="24"/>
          <w:szCs w:val="24"/>
        </w:rPr>
        <w:t xml:space="preserve">2.1 Perspektif Produk</w:t>
      </w:r>
    </w:p>
    <w:p>
      <w:pPr>
        <w:spacing w:after="120" w:line="276"/>
        <w:jc w:val="both"/>
      </w:pPr>
      <w:r>
        <w:rPr>
          <w:rFonts w:ascii="Calibri" w:cs="Calibri" w:eastAsia="Calibri" w:hAnsi="Calibri"/>
          <w:color w:val="20293A"/>
          <w:sz w:val="21"/>
          <w:szCs w:val="21"/>
        </w:rPr>
        <w:t xml:space="preserve">Platform ini adalah sistem baru yang berdiri sendiri, bukan modul tambahan atas sistem yang ada. Ia menempati posisi sebagai lapisan pengendalian dan asurans di atas sistem operasional Bank: menarik data dari Core Banking dan General Ledger untuk keperluan pengujian, menarik identitas dari direktori Bank, dan mengirim log ke SIEM — namun memiliki model data pengendaliannya sendiri yang tidak bergantung pada skema sistem mana pun.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C0891F" w:sz="24"/>
              <w:bottom w:val="none" w:color="auto" w:sz="0"/>
              <w:right w:val="none" w:color="auto" w:sz="0"/>
            </w:tcBorders>
            <w:shd w:fill="F6ECD4"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Keputusan Arsitektur Fundamental</w:t>
            </w:r>
          </w:p>
          <w:p>
            <w:pPr>
              <w:spacing w:after="40" w:line="264"/>
              <w:jc w:val="both"/>
            </w:pPr>
            <w:r>
              <w:rPr>
                <w:rFonts w:ascii="Calibri" w:cs="Calibri" w:eastAsia="Calibri" w:hAnsi="Calibri"/>
                <w:color w:val="20293A"/>
                <w:sz w:val="19"/>
                <w:szCs w:val="19"/>
              </w:rPr>
              <w:t xml:space="preserve">Control library adalah entitas milik platform, bukan cerminan (mirror) dari sistem lain. Konsekuensinya: bila Core Banking mengalami migrasi, kegagalan, atau penggantian, dokumentasi pengendalian internal Bank tetap utuh dan tetap dapat diaudit. Ini bukan detail teknis — ini adalah persyaratan kelangsungan bukti (evidence continuity) yang diminta auditor eksternal.</w:t>
            </w:r>
          </w:p>
        </w:tc>
      </w:tr>
    </w:tbl>
    <w:p>
      <w:pPr>
        <w:pStyle w:val="Heading2"/>
        <w:spacing w:after="120" w:before="260"/>
      </w:pPr>
      <w:r>
        <w:rPr>
          <w:rFonts w:ascii="Cambria" w:cs="Cambria" w:eastAsia="Cambria" w:hAnsi="Cambria"/>
          <w:b/>
          <w:bCs/>
          <w:color w:val="1B4A8A"/>
          <w:sz w:val="24"/>
          <w:szCs w:val="24"/>
        </w:rPr>
        <w:t xml:space="preserve">2.2 Arsitektur Lima Lapis</w:t>
      </w:r>
    </w:p>
    <w:p>
      <w:pPr>
        <w:spacing w:after="120" w:line="276"/>
        <w:jc w:val="both"/>
      </w:pPr>
      <w:r>
        <w:rPr>
          <w:rFonts w:ascii="Calibri" w:cs="Calibri" w:eastAsia="Calibri" w:hAnsi="Calibri"/>
          <w:color w:val="20293A"/>
          <w:sz w:val="21"/>
          <w:szCs w:val="21"/>
        </w:rPr>
        <w:t xml:space="preserve">Arsitektur dibagi menjadi lima lapis dengan tanggung jawab yang tegas. Rincian layanan mikro ditetapkan pada DOK-16; rincian penggelaran pada DOK-14.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1986"/>
        <w:gridCol w:w="6318"/>
      </w:tblGrid>
      <w:tr>
        <w:trPr>
          <w:tblHeader/>
        </w:trPr>
        <w:tc>
          <w:tcPr>
            <w:tcW w:type="dxa" w:w="72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Lapis</w:t>
            </w:r>
          </w:p>
        </w:tc>
        <w:tc>
          <w:tcPr>
            <w:tcW w:type="dxa" w:w="198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Nama</w:t>
            </w:r>
          </w:p>
        </w:tc>
        <w:tc>
          <w:tcPr>
            <w:tcW w:type="dxa" w:w="631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Tanggung Jawab</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L1</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Lapisan Pengalaman</w:t>
            </w:r>
          </w:p>
        </w:tc>
        <w:tc>
          <w:tcPr>
            <w:tcW w:type="dxa" w:w="631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Progressive Web App responsif (desktop, tablet, ponsel, foldable); mode terang &amp; gelap; design system terpusat; AI Assistant mengambang; contextual help, wizard, guided tour, pencarian global, pintasan papan ketik.</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L2</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Lapisan Gerbang</w:t>
            </w:r>
          </w:p>
        </w:tc>
        <w:tc>
          <w:tcPr>
            <w:tcW w:type="dxa" w:w="631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API Gateway + Web Application Firewall: autentikasi, otorisasi (policy decision point), rate limiting, validasi skema, audit ingress. Tidak ada layanan yang dapat dijangkau langsung dari luar.</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L3</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Lapisan Domain</w:t>
            </w:r>
          </w:p>
        </w:tc>
        <w:tc>
          <w:tcPr>
            <w:tcW w:type="dxa" w:w="631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Layanan mikro sesuai batas domain: Governance, ICOFR, Risk, Compliance, Policy, ITGC, Asset, Document, Audit, Reporting, Identity, Notification, Workflow Engine, AI Orchestrator. Berkomunikasi melalui API sinkron dan event asinkron.</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L4</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Lapisan Data</w:t>
            </w:r>
          </w:p>
        </w:tc>
        <w:tc>
          <w:tcPr>
            <w:tcW w:type="dxa" w:w="631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Basis data relasional (data transaksional &amp; referensial), penyimpanan objek untuk bukti (WORM untuk arsip), indeks pencarian teks penuh, basis data vektor untuk RAG, dan penyimpanan jejak audit append-only terpisah.</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L5</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Lapisan Platform</w:t>
            </w:r>
          </w:p>
        </w:tc>
        <w:tc>
          <w:tcPr>
            <w:tcW w:type="dxa" w:w="631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Kontainer terorkestrasi, key vault/HSM, SIEM, observability (log, metrik, tracing), backup &amp; DR. Digelar on-premise atau sovereign cloud Indonesia.</w:t>
            </w:r>
          </w:p>
        </w:tc>
      </w:tr>
    </w:tbl>
    <w:p>
      <w:pPr>
        <w:spacing w:after="180" w:before="60"/>
        <w:jc w:val="left"/>
      </w:pPr>
      <w:r>
        <w:rPr>
          <w:rFonts w:ascii="Calibri" w:cs="Calibri" w:eastAsia="Calibri" w:hAnsi="Calibri"/>
          <w:i/>
          <w:iCs/>
          <w:color w:val="5C6B7E"/>
          <w:sz w:val="17"/>
          <w:szCs w:val="17"/>
        </w:rPr>
        <w:t xml:space="preserve">Tabel 2.2 — Arsitektur lima lapis ICOP GRC Platform.</w:t>
      </w:r>
    </w:p>
    <w:p>
      <w:pPr>
        <w:pStyle w:val="Heading2"/>
        <w:spacing w:after="120" w:before="260"/>
      </w:pPr>
      <w:r>
        <w:rPr>
          <w:rFonts w:ascii="Cambria" w:cs="Cambria" w:eastAsia="Cambria" w:hAnsi="Cambria"/>
          <w:b/>
          <w:bCs/>
          <w:color w:val="1B4A8A"/>
          <w:sz w:val="24"/>
          <w:szCs w:val="24"/>
        </w:rPr>
        <w:t xml:space="preserve">2.3 Karakteristik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1264"/>
        <w:gridCol w:w="1625"/>
        <w:gridCol w:w="1444"/>
        <w:gridCol w:w="2527"/>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Kelompok</w:t>
            </w:r>
          </w:p>
        </w:tc>
        <w:tc>
          <w:tcPr>
            <w:tcW w:type="dxa" w:w="12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Perkiraan Jumlah</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Frekuensi Pakai</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Perangkat Utama</w:t>
            </w:r>
          </w:p>
        </w:tc>
        <w:tc>
          <w:tcPr>
            <w:tcW w:type="dxa" w:w="252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Kemahiran TI</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Eksekutif &amp; Direksi</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10 – 20</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Mingguan / saat atestasi</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Ponsel, tablet</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Rendah — antarmuka harus tanpa pelatihan</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UKK ICOFR &amp; PMO</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5 – 15</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Harian</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Desktop</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Tinggi</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Process Owner / Control Owner</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100 – 500</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Bulanan / saat siklus CSA</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Ponsel, desktop</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Sedang — CSA harus lebih mudah daripada Excel</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Lini 2 (Risiko &amp; Kepatuhan)</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20 – 60</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Harian</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Desktop</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Tinggi</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Lini 3 (SKAI)</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15 – 50</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Harian saat pengujian</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Desktop, tablet</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Tinggi</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Administrator TI</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3 – 10</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Harian</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Desktop</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Sangat tinggi</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Auditor Eksternal</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5 – 20</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Musiman</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Desktop</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Tinggi</w:t>
            </w:r>
          </w:p>
        </w:tc>
      </w:tr>
    </w:tbl>
    <w:p>
      <w:pPr>
        <w:spacing w:after="100"/>
      </w:pPr>
    </w:p>
    <w:p>
      <w:pPr>
        <w:spacing w:after="120" w:line="276"/>
        <w:jc w:val="both"/>
      </w:pPr>
      <w:r>
        <w:rPr>
          <w:rFonts w:ascii="Calibri" w:cs="Calibri" w:eastAsia="Calibri" w:hAnsi="Calibri"/>
          <w:b/>
          <w:bCs/>
          <w:color w:val="20293A"/>
          <w:sz w:val="21"/>
          <w:szCs w:val="21"/>
        </w:rPr>
        <w:t xml:space="preserve">Kelompok terbesar — Process Owner — adalah kelompok dengan kemahiran TI paling beragam dan motivasi paling rendah, karena bagi mereka pengendalian internal adalah tugas tambahan. Kegagalan adopsi hampir selalu bermula di sini. Karena itu NFR-018 menetapkan target yang keras: pengguna baru harus dapat menyelesaikan CSA atas satu kontrol dalam lima menit tanpa pelatihan dan tanpa bantuan.</w:t>
      </w:r>
    </w:p>
    <w:p>
      <w:pPr>
        <w:pStyle w:val="Heading2"/>
        <w:spacing w:after="120" w:before="260"/>
      </w:pPr>
      <w:r>
        <w:rPr>
          <w:rFonts w:ascii="Cambria" w:cs="Cambria" w:eastAsia="Cambria" w:hAnsi="Cambria"/>
          <w:b/>
          <w:bCs/>
          <w:color w:val="1B4A8A"/>
          <w:sz w:val="24"/>
          <w:szCs w:val="24"/>
        </w:rPr>
        <w:t xml:space="preserve">2.4 Batasan Perancangan</w:t>
      </w:r>
    </w:p>
    <w:p>
      <w:pPr>
        <w:pStyle w:val="ListParagraph"/>
        <w:numPr>
          <w:ilvl w:val="0"/>
          <w:numId w:val="2"/>
        </w:numPr>
        <w:spacing w:after="60" w:line="264"/>
        <w:jc w:val="both"/>
      </w:pPr>
      <w:r>
        <w:rPr>
          <w:rFonts w:ascii="Calibri" w:cs="Calibri" w:eastAsia="Calibri" w:hAnsi="Calibri"/>
          <w:color w:val="20293A"/>
          <w:sz w:val="21"/>
          <w:szCs w:val="21"/>
        </w:rPr>
        <w:t xml:space="preserve">Seluruh data dan pemrosesan berada dalam yurisdiksi Indonesia (BR-005) — termasuk inferensi model AI.</w:t>
      </w:r>
    </w:p>
    <w:p>
      <w:pPr>
        <w:pStyle w:val="ListParagraph"/>
        <w:numPr>
          <w:ilvl w:val="0"/>
          <w:numId w:val="2"/>
        </w:numPr>
        <w:spacing w:after="60" w:line="264"/>
        <w:jc w:val="both"/>
      </w:pPr>
      <w:r>
        <w:rPr>
          <w:rFonts w:ascii="Calibri" w:cs="Calibri" w:eastAsia="Calibri" w:hAnsi="Calibri"/>
          <w:color w:val="20293A"/>
          <w:sz w:val="21"/>
          <w:szCs w:val="21"/>
        </w:rPr>
        <w:t xml:space="preserve">Sistem harus dapat digelar on-premise; ketergantungan pada layanan cloud publik tertentu tidak diperbolehkan (NFR-030).</w:t>
      </w:r>
    </w:p>
    <w:p>
      <w:pPr>
        <w:pStyle w:val="ListParagraph"/>
        <w:numPr>
          <w:ilvl w:val="0"/>
          <w:numId w:val="2"/>
        </w:numPr>
        <w:spacing w:after="60" w:line="264"/>
        <w:jc w:val="both"/>
      </w:pPr>
      <w:r>
        <w:rPr>
          <w:rFonts w:ascii="Calibri" w:cs="Calibri" w:eastAsia="Calibri" w:hAnsi="Calibri"/>
          <w:color w:val="20293A"/>
          <w:sz w:val="21"/>
          <w:szCs w:val="21"/>
        </w:rPr>
        <w:t xml:space="preserve">Konfigurasi alur kerja, SLA, threshold, dan matriks kewenangan harus dapat diubah tanpa penggelaran ulang kode (NFR-028).</w:t>
      </w:r>
    </w:p>
    <w:p>
      <w:pPr>
        <w:pStyle w:val="ListParagraph"/>
        <w:numPr>
          <w:ilvl w:val="0"/>
          <w:numId w:val="2"/>
        </w:numPr>
        <w:spacing w:after="60" w:line="264"/>
        <w:jc w:val="both"/>
      </w:pPr>
      <w:r>
        <w:rPr>
          <w:rFonts w:ascii="Calibri" w:cs="Calibri" w:eastAsia="Calibri" w:hAnsi="Calibri"/>
          <w:color w:val="20293A"/>
          <w:sz w:val="21"/>
          <w:szCs w:val="21"/>
        </w:rPr>
        <w:t xml:space="preserve">Keluaran AI tidak pernah menjadi data resmi tanpa persetujuan manusia (BRL-010, AIR-006).</w:t>
      </w:r>
    </w:p>
    <w:p>
      <w:pPr>
        <w:pStyle w:val="ListParagraph"/>
        <w:numPr>
          <w:ilvl w:val="0"/>
          <w:numId w:val="2"/>
        </w:numPr>
        <w:spacing w:after="60" w:line="264"/>
        <w:jc w:val="both"/>
      </w:pPr>
      <w:r>
        <w:rPr>
          <w:rFonts w:ascii="Calibri" w:cs="Calibri" w:eastAsia="Calibri" w:hAnsi="Calibri"/>
          <w:color w:val="20293A"/>
          <w:sz w:val="21"/>
          <w:szCs w:val="21"/>
        </w:rPr>
        <w:t xml:space="preserve">Jejak audit tidak dapat diubah oleh peran apa pun, termasuk Super Admin dan DBA (SEC-014).</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3. KEBUTUHAN FUNGSIONAL</w:t>
      </w:r>
    </w:p>
    <w:p>
      <w:pPr>
        <w:spacing w:after="120" w:line="276"/>
        <w:jc w:val="both"/>
      </w:pPr>
      <w:r>
        <w:rPr>
          <w:rFonts w:ascii="Calibri" w:cs="Calibri" w:eastAsia="Calibri" w:hAnsi="Calibri"/>
          <w:color w:val="20293A"/>
          <w:sz w:val="21"/>
          <w:szCs w:val="21"/>
        </w:rPr>
        <w:t xml:space="preserve">Bab ini menetapkan 155 kebutuhan fungsional. Setiap FR tertaut ke kebutuhan bisnis induknya sehingga rantai ketertelusuran BR → FR → UC → TC (DOK-00 §5.4) dapat diverifikasi. FR tanpa BR induk dianggap cacat dan dikembalikan; BR tanpa FR turunan berarti kebutuhan bisnis tidak terpenuhi.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8"/>
        <w:gridCol w:w="1264"/>
        <w:gridCol w:w="3249"/>
        <w:gridCol w:w="1625"/>
      </w:tblGrid>
      <w:tr>
        <w:trPr>
          <w:tblHeader/>
        </w:trPr>
        <w:tc>
          <w:tcPr>
            <w:tcW w:type="dxa" w:w="288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Modul</w:t>
            </w:r>
          </w:p>
        </w:tc>
        <w:tc>
          <w:tcPr>
            <w:tcW w:type="dxa" w:w="12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Jumlah FR</w:t>
            </w:r>
          </w:p>
        </w:tc>
        <w:tc>
          <w:tcPr>
            <w:tcW w:type="dxa" w:w="324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Modul</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Jumlah FR</w:t>
            </w:r>
          </w:p>
        </w:tc>
      </w:tr>
      <w:tr>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DSH — Dashboard Executive</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8</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DMS/ITG/ITA — Teknologi</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16</w:t>
            </w:r>
          </w:p>
        </w:tc>
      </w:tr>
      <w:tr>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GOV — Governance</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8</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IAD — Internal Audit</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8</w:t>
            </w:r>
          </w:p>
        </w:tc>
      </w:tr>
      <w:tr>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ICF — ICOFR Management</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45</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RPT — Reporting</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8</w:t>
            </w:r>
          </w:p>
        </w:tc>
      </w:tr>
      <w:tr>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ERM/ORM/KRI/LED/INC — Risiko</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29</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AIA — AI Assistant</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10</w:t>
            </w:r>
          </w:p>
        </w:tc>
      </w:tr>
      <w:tr>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CMP/POL — Kepatuhan &amp; Kebijakan</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13</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ADM — Administration &amp; Security</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10</w:t>
            </w:r>
          </w:p>
        </w:tc>
      </w:tr>
    </w:tbl>
    <w:p>
      <w:pPr>
        <w:spacing w:after="180" w:before="60"/>
        <w:jc w:val="left"/>
      </w:pPr>
      <w:r>
        <w:rPr>
          <w:rFonts w:ascii="Calibri" w:cs="Calibri" w:eastAsia="Calibri" w:hAnsi="Calibri"/>
          <w:i/>
          <w:iCs/>
          <w:color w:val="5C6B7E"/>
          <w:sz w:val="17"/>
          <w:szCs w:val="17"/>
        </w:rPr>
        <w:t xml:space="preserve">Tabel 3 — Distribusi 155 kebutuhan fungsional. Konsentrasi pada ICF mencerminkan bahwa ICOFR adalah modul utama.</w:t>
      </w:r>
    </w:p>
    <w:p>
      <w:pPr>
        <w:pStyle w:val="Heading2"/>
        <w:spacing w:after="120" w:before="260"/>
      </w:pPr>
      <w:r>
        <w:rPr>
          <w:rFonts w:ascii="Cambria" w:cs="Cambria" w:eastAsia="Cambria" w:hAnsi="Cambria"/>
          <w:b/>
          <w:bCs/>
          <w:color w:val="1B4A8A"/>
          <w:sz w:val="24"/>
          <w:szCs w:val="24"/>
        </w:rPr>
        <w:t xml:space="preserve">3.1 Dashboard Executive (DSH)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6"/>
        <w:gridCol w:w="1625"/>
        <w:gridCol w:w="902"/>
      </w:tblGrid>
      <w:tr>
        <w:trPr>
          <w:tblHeader/>
        </w:trPr>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541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Kebutuhan Fungsional</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BR Terkait</w:t>
            </w:r>
          </w:p>
        </w:tc>
        <w:tc>
          <w:tcPr>
            <w:tcW w:type="dxa" w:w="90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Pri.</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FR-DSH-001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Menampilkan lima skor agregat (Compliance, Risk, ICOFR, ERM, Audit) pada satu layar dengan indikator tren terhadap periode sebelumnya.</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BR-054</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FR-DSH-002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Setiap skor dapat ditelusuri (drill-down) hingga ke data dasarnya dalam maksimal tiga klik.</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BR-054</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FR-DSH-003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Menampilkan heatmap risiko interaktif; klik pada sel membuka daftar risiko beserta pengendaliannya.</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BR-030</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FR-DSH-004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Menampilkan papan status ICOFR: jumlah kontrol total, sudah diuji, belum diuji, efektif, tidak efektif, per siklus.</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BR-054</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FR-DSH-005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Menampilkan defisiensi terbuka terklasifikasi (CD / SD / MW) beserta akun signifikan yang terdampak.</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BR-024</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FR-DSH-006</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Menampilkan remediasi yang melewati tenggat, diurutkan berdasarkan dampak terhadap akun signifikan.</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BR-025</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FR-DSH-007</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Menampilkan tren KRI, insiden, loss event, CSA, temuan, dan remediasi dalam rentang waktu yang dapat dipilih.</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BR-033, BR-036</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FR-DSH-008</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Menyediakan dasbor yang dapat dikonfigurasi per peran; tata letak tersimpan per pengguna.</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BR-054</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bl>
    <w:p>
      <w:pPr>
        <w:pStyle w:val="Heading2"/>
        <w:spacing w:after="120" w:before="260"/>
      </w:pPr>
      <w:r>
        <w:rPr>
          <w:rFonts w:ascii="Cambria" w:cs="Cambria" w:eastAsia="Cambria" w:hAnsi="Cambria"/>
          <w:b/>
          <w:bCs/>
          <w:color w:val="1B4A8A"/>
          <w:sz w:val="24"/>
          <w:szCs w:val="24"/>
        </w:rPr>
        <w:t xml:space="preserve">3.2 Governance (GOV)</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6"/>
        <w:gridCol w:w="1625"/>
        <w:gridCol w:w="902"/>
      </w:tblGrid>
      <w:tr>
        <w:trPr>
          <w:tblHeader/>
        </w:trPr>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541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Kebutuhan Fungsional</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BR Terkait</w:t>
            </w:r>
          </w:p>
        </w:tc>
        <w:tc>
          <w:tcPr>
            <w:tcW w:type="dxa" w:w="90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Pri.</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FR-GOV-001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Memelihara struktur organisasi berjenjang (direktorat, divisi, unit) beserta pemetaan pegawai ke unit.</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BR-007</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FR-GOV-002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Memelihara komite (Komite Audit, Komite Risiko) beserta piagam, keanggotaan, dan risalah rapat.</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BR-007</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FR-GOV-003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Menandai unit yang berperan sebagai Unit Kerja Khusus (UKK) ICOFR beserta dasar penetapannya.</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BR-006</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FR-GOV-004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Menyediakan action tracker terpadu yang menampung tindak lanjut dari CSA, ToD/ToE, temuan audit, insiden, dan gap kepatuhan dalam satu daftar.</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BR-008</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FR-GOV-005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Setiap item action tracker memiliki PIC, tenggat, status, bukti penyelesaian, dan sumber asal (modul pembentuk).</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BR-008</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FR-GOV-006</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Menyediakan kalender tata kelola yang menggabungkan rapat komite, tenggat CSA, tenggat pengujian, dan tenggat pelaporan regulasi.</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BR-009, BR-041</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FR-GOV-007</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Memelihara matriks RACI per proses dan per pengendalian; sistem menolak penugasan yang melanggar pemisahan tugas.</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BR-060</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FR-GOV-008</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Mengelola proyek dan roadmap tata kelola dengan milestone dan status.</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BR-007</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C</w:t>
            </w:r>
          </w:p>
        </w:tc>
      </w:tr>
    </w:tbl>
    <w:p>
      <w:pPr>
        <w:pStyle w:val="Heading2"/>
        <w:spacing w:after="120" w:before="260"/>
      </w:pPr>
      <w:r>
        <w:rPr>
          <w:rFonts w:ascii="Cambria" w:cs="Cambria" w:eastAsia="Cambria" w:hAnsi="Cambria"/>
          <w:b/>
          <w:bCs/>
          <w:color w:val="1B4A8A"/>
          <w:sz w:val="24"/>
          <w:szCs w:val="24"/>
        </w:rPr>
        <w:t xml:space="preserve">3.3 ICOFR Management System (ICF)</w:t>
      </w:r>
    </w:p>
    <w:p>
      <w:pPr>
        <w:spacing w:after="120" w:line="276"/>
        <w:jc w:val="both"/>
      </w:pPr>
      <w:r>
        <w:rPr>
          <w:rFonts w:ascii="Calibri" w:cs="Calibri" w:eastAsia="Calibri" w:hAnsi="Calibri"/>
          <w:color w:val="20293A"/>
          <w:sz w:val="21"/>
          <w:szCs w:val="21"/>
        </w:rPr>
        <w:t xml:space="preserve">Modul inti platform. Empat puluh lima kebutuhan berikut mencakup seluruh siklus ICOFR — dari penetapan materialitas hingga penguncian periode pasca-atestasi — dan merupakan bagian yang paling langsung diturunkan dari POJK 15/2024.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6"/>
        <w:gridCol w:w="1625"/>
        <w:gridCol w:w="902"/>
      </w:tblGrid>
      <w:tr>
        <w:trPr>
          <w:tblHeader/>
        </w:trPr>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541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Kebutuhan Fungsional</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BR Terkait</w:t>
            </w:r>
          </w:p>
        </w:tc>
        <w:tc>
          <w:tcPr>
            <w:tcW w:type="dxa" w:w="90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Pri.</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FR-ICF-001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Menetapkan Overall Materiality dengan pilihan tolok ukur (laba sebelum pajak, total pendapatan, total biaya, total aset) dan persentase yang dapat dikonfigurasi.</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BR-010</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FR-ICF-002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Menetapkan Performance Materiality sebagai haircut dari Overall Materiality, dengan rasionalisasi tertulis wajib.</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BR-010</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FR-ICF-003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Menarik saldo akun dari General Ledger untuk perbandingan otomatis terhadap Performance Materiality.</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BR-010, BR-011</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FR-ICF-004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Menandai akun dengan nilai ≥ Performance Materiality sebagai in-scope secara otomatis (BRL-009); pengecualian memerlukan rasionalisasi dan persetujuan Direktur Keuangan.</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BR-011</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FR-ICF-005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Mendukung penilaian faktor kualitatif per akun (kerentanan fraud, volume transaksi, kompleksitas, kerumitan akuntansi, riwayat temuan, perubahan dari periode lalu).</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BR-011</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FR-ICF-006</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Menautkan setiap akun signifikan ke satu atau lebih asersi (E, C, VA, RO, O, PD) dengan rasionalisasi relevansi.</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BR-012</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FR-ICF-007</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Menetapkan proses bisnis signifikan dan menautkannya ke akun signifikan yang dipengaruhinya.</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BR-013</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FR-ICF-008</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Menetapkan aplikasi signifikan berdasarkan kriteria volume, nilai transaksi, dan ketergantungan pengendalian otomatis; menautkannya ke ruang lingkup ITGC.</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BR-013</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FR-ICF-009</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Mendokumentasikan Business Process Mapping dengan langkah proses, pelaksana, sistem, masukan, keluaran, dan tautan ke ID risiko/kontrol.</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BR-014</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FR-ICF-010</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Menyediakan editor flowchart dan BPMN 2.0 dengan ekspor ke gambar dan XML.</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BR-014</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FR-ICF-011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Menyimpan narasi proses dalam format teks kaya dengan versi dan riwayat perubahan.</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BR-014</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FR-ICF-012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Memelihara Risk Control Matrix dengan atribut wajib: ID risiko, deskripsi risiko, ID kontrol, aktivitas pengendalian, asersi, jenis (preventif/detektif), sifat (manual/otomatis/IT-dependent), frekuensi, key control, tingkat risiko, pemilik kontrol.</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BR-015</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FR-ICF-013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Menegakkan konvensi ID: R-XXX-nn untuk risiko, C-XXX-nn untuk kontrol proses, ELC-nn, ITG-nn; XXX adalah kode siklus.</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BR-015</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FR-ICF-014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Memelihara Entity Level Control terstruktur atas lima komponen COSO, masing-masing dengan bukti, frekuensi, pemilik, dan pendekatan uji.</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BR-016</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FR-ICF-015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Memelihara IT General Control atas empat domain COBIT dan menautkannya ke aplikasi signifikan.</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BR-016, BR-043</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FR-ICF-016</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Mengelola versi RCM: perubahan menghasilkan versi baru; versi lama tetap dapat dibaca; perbedaan antar versi dapat ditampilkan.</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BR-002, BR-015</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FR-ICF-017</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Menegakkan alur maker–checker–approver atas perubahan RCM; penyusun tidak dapat menyetujui perubahannya sendiri (BRL-002).</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BR-060</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FR-ICF-018</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Mendukung walkthrough: perekaman tanggal, peserta, langkah yang ditelusuri, bukti, dan konfirmasi Process Owner.</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BR-017</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FR-ICF-019</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Membangkitkan dan mendistribusikan kuesioner CSA otomatis kepada pemilik kontrol pada jadwal yang ditetapkan.</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BR-018</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FR-ICF-020</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Kuesioner CSA pra-terisi dengan hasil periode sebelumnya dan menyorot atribut kontrol yang berubah sejak siklus terakhir.</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BR-018</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FR-ICF-021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CSA dapat diselesaikan sepenuhnya dari perangkat mobile, termasuk unggah bukti langsung dari kamera.</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BR-003, BR-018</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FR-ICF-022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Menolak penyimpanan kesimpulan CSA "Memadai" atas key control tanpa bukti terlampir (BRL-004).</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BR-018</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FR-ICF-023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Mengirim penagihan otomatis dan mengeskalasi ke atasan pemilik kontrol bila CSA melewati SLA.</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BR-018</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FR-ICF-024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Menyediakan konsolidasi hasil CSA per siklus, per pemilik, dan per akun signifikan secara real-time.</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BR-018</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FR-ICF-025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Mendukung evaluasi hasil CSA oleh Lini 2 dengan kesimpulan terpisah dari kesimpulan Lini 1; keduanya tersimpan.</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BR-018</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FR-ICF-026</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Mendukung Test of Design: prosedur uji, hasil, kesimpulan (memadai/tidak memadai), penguji, reviewer, tanggal, referensi kertas kerja.</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BR-019</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FR-ICF-027</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Mendukung Test of Operating Effectiveness: prosedur uji, populasi, ukuran sampel, sampel diuji, jumlah eksepsi, kesimpulan (efektif/tidak efektif).</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BR-020</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FR-ICF-028</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Menghitung saran ukuran sampel otomatis berdasarkan frekuensi kontrol, sifat, dan tingkat risiko; penyesuaian manual wajib disertai alasan tertulis.</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BR-021</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FR-ICF-029</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Menarik populasi sampel dari Core Banking bila integrasi tersedia; mendukung unggah populasi manual bila tidak.</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BR-021</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FR-ICF-030</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Menolak penyimpanan kesimpulan ToE "Efektif" tanpa bukti terlampir dan ukuran sampel terisi (BRL-003).</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BR-020</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FR-ICF-031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Menolak penugasan penguji ToE yang merupakan pemilik atau pelaksana kontrol yang diuji (BRL-001).</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BR-060</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FR-ICF-032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Membangkitkan kertas kerja pengujian dari data RCM, sampel, bukti, dan kesimpulan; kertas kerja bersifat read-only setelah direviu.</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BR-022</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FR-ICF-033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Membentuk draf defisiensi otomatis setiap kali eksepsi ToE &gt; 0 atau kesimpulan ToD tidak memadai (BRL-005).</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BR-023</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FR-ICF-034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Menyediakan pohon keputusan terpandu untuk klasifikasi CD / SD / MW yang merekam setiap jawaban dan pertimbangan profesional penguji.</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BR-023</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FR-ICF-035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Membedakan defisiensi rancangan (design deficiency) dan defisiensi operasi (operation deficiency), karena jalur remediasinya berbeda.</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BR-023</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FR-ICF-036</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Mengagregasi defisiensi secara berkelanjutan dan menandai kombinasi defisiensi dengan akar masalah sama yang berdampak pada akun sama sebagai kandidat SD (BRL-006).</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BR-024</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FR-ICF-037</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Menaikkan klasifikasi otomatis untuk defisiensi berulang dengan akar masalah sama tanpa upaya perbaikan (BRL-007).</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BR-024</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FR-ICF-038</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Menghitung dan menampilkan Degree of Deficiency — kuantifikasi dampak potensial terhadap akun signifikan.</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BR-024</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FR-ICF-039</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Mengelola rencana remediasi (CAPA): akar masalah, tindakan, PIC, tenggat, bukti penyelesaian, tanggal efektif pengendalian baru.</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BR-025</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FR-ICF-040</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Memicu penugasan pengujian ulang otomatis kepada Lini 3 setelah remediasi ditandai selesai oleh Lini 1 dan divalidasi Lini 2.</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BR-025</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FR-ICF-041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Menolak penutupan defisiensi tanpa hasil pengujian ulang yang lulus (BRL-005).</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BR-025</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FR-ICF-042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Mendukung atestasi berjenjang: sertifikasi Process Owner → persetujuan Direktur Bidang → sertifikasi Direktur Utama &amp; Direktur Keuangan.</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BR-026</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FR-ICF-043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Setiap tahap atestasi ditandatangani digital dan tidak dapat diubah setelah ditandatangani.</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BR-026, BR-064</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FR-ICF-044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Mengunci seluruh data pengujian periode setelah atestasi final ditandatangani; perubahan hanya melalui prosedur restatement bernomor (BRL-008).</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BR-026</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FR-ICF-045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Menyediakan tampilan riwayat multi-periode: perbandingan efektivitas pengendalian yang sama antar tahun buku.</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BR-024</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bl>
    <w:p>
      <w:pPr>
        <w:pStyle w:val="Heading2"/>
        <w:spacing w:after="120" w:before="260"/>
      </w:pPr>
      <w:r>
        <w:rPr>
          <w:rFonts w:ascii="Cambria" w:cs="Cambria" w:eastAsia="Cambria" w:hAnsi="Cambria"/>
          <w:b/>
          <w:bCs/>
          <w:color w:val="1B4A8A"/>
          <w:sz w:val="24"/>
          <w:szCs w:val="24"/>
        </w:rPr>
        <w:t xml:space="preserve">3.4 Risiko: ERM, ORM, KRI, LED, INC</w:t>
      </w:r>
    </w:p>
    <w:p>
      <w:pPr>
        <w:spacing w:after="120" w:line="276"/>
        <w:jc w:val="both"/>
      </w:pPr>
      <w:r>
        <w:rPr>
          <w:rFonts w:ascii="Calibri" w:cs="Calibri" w:eastAsia="Calibri" w:hAnsi="Calibri"/>
          <w:color w:val="20293A"/>
          <w:sz w:val="21"/>
          <w:szCs w:val="21"/>
        </w:rPr>
        <w:t xml:space="preserve">Modul risiko dirancang untuk memakai control library yang sama dengan ICOFR. FR-ERM-005 adalah kebutuhan yang paling sering dilanggar dalam implementasi GRC: risiko residual harus dihitung dari efektivitas pengendalian yang benar-benar diuji, bukan dari penilaian subjektif yang diinput terpisah.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6"/>
        <w:gridCol w:w="1625"/>
        <w:gridCol w:w="902"/>
      </w:tblGrid>
      <w:tr>
        <w:trPr>
          <w:tblHeader/>
        </w:trPr>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541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Kebutuhan Fungsional</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BR Terkait</w:t>
            </w:r>
          </w:p>
        </w:tc>
        <w:tc>
          <w:tcPr>
            <w:tcW w:type="dxa" w:w="90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Pri.</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FR-ERM-001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Memelihara Risk Universe dan taksonomi risiko berjenjang minimal tiga tingkat.</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BR-027</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FR-ERM-002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Mengelola register risiko dengan atribut: kategori, deskripsi, penyebab, dampak, pemilik risiko, unit terkait.</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BR-027</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FR-ERM-003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Menetapkan risk appetite dan risk tolerance per kategori risiko; menandai pelampauan secara visual dan melalui alert.</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BR-028</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FR-ERM-004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Menilai risiko inheren berdasarkan matriks kemungkinan × dampak yang dapat dikonfigurasi (ukuran matriks &amp; skala).</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BR-027</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FR-ERM-005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Menghitung risiko residual dari risiko inheren dikurangi efektivitas pengendalian yang bersumber dari hasil ToE/CSA — bukan dari input manual.</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BR-029</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FR-ERM-006</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Menampilkan heatmap risiko dengan filter per kategori, unit, dan periode; sel dapat diklik untuk menelusuri risiko dan pengendaliannya.</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BR-030</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FR-ERM-007</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Mengelola rencana perlakuan risiko (terima, kurangi, alihkan, hindari) dengan PIC dan tenggat.</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BR-027</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FR-ERM-008</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Mendukung analisis skenario dan stress testing dengan parameter yang dapat dikonfigurasi.</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BR-031</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FR-ERM-009</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Mengelola emerging risk dengan status pemantauan dan tinjauan berkala.</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BR-027</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C</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FR-ERM-010</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Menampilkan tren risiko residual antar periode per kategori.</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BR-030</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FR-ORM-001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Menjalankan RCSA menggunakan control library yang sama dengan RCM ICOFR — bukan salinan terpisah.</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BR-032</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FR-ORM-002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Menandai kontrol yang telah diuji ToE dalam periode berjalan sehingga tidak diuji ulang oleh RCSA.</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BR-032</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FR-ORM-003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Mengelola control library terpusat dengan status (aktif, dalam remediasi, pensiun) dan riwayat efektivitas.</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BR-001, BR-032</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FR-ORM-004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Mendukung control testing periodik di luar siklus ICOFR untuk kontrol non-ICOFR.</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BR-032</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FR-ORM-005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Menampilkan risiko residual operasional per unit kerja.</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BR-029</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FR-KRI-001</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Memelihara KRI library dengan definisi, formula, satuan, frekuensi pengukuran, dan pemilik.</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BR-033</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FR-KRI-002</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Menetapkan threshold berjenjang (hijau, kuning, merah) dan ambang peringatan dini per KRI.</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BR-033</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FR-KRI-003</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Menarik nilai KRI otomatis dari sistem sumber melalui integrasi; mendukung input manual dengan bukti bila integrasi tidak tersedia.</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BR-034</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FR-KRI-004</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Memicu alert dan eskalasi otomatis kepada pemilik risiko dan Lini 2 saat KRI melampaui threshold.</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BR-035</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FR-KRI-005</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Menautkan KRI ke risiko dan pengendalian terkait sehingga pelampauan threshold menunjuk langsung ke kontrol yang perlu ditinjau.</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BR-035, BR-037</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FR-LED-001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Mencatat loss event dengan kategori Basel (event type level 1 &amp; 2), unit, tanggal kejadian, tanggal terdeteksi, dan nilai kerugian bruto.</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BR-036</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FR-LED-002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Mencatat near miss dan potensi kerugian yang tidak terealisasi.</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BR-036</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FR-LED-003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Mencatat recovery (pemulihan) dan menghitung kerugian neto.</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BR-036</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FR-LED-004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Menautkan setiap loss event ke pengendalian yang gagal, sehingga kegagalan berulang atas kontrol yang sama terlihat sebagai pola.</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BR-037</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FR-INC-001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Mengelola siklus insiden: pelaporan, triase, investigasi, akar masalah, CAPA, persetujuan, penutupan.</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BR-037</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FR-INC-002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Mengeskalasi insiden berdasarkan tingkat keparahan dan SLA yang dapat dikonfigurasi.</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BR-037</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FR-INC-003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Menyediakan analisis akar masalah terstruktur (5 Why / Fishbone) dengan keluaran terekam.</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BR-037</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FR-INC-004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Membentuk CAPA otomatis dari insiden dan mengalirkannya ke action tracker terpadu.</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BR-008, BR-037</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FR-INC-005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Menautkan insiden ke loss event bila menimbulkan kerugian finansial.</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BR-036, BR-037</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bl>
    <w:p>
      <w:pPr>
        <w:pStyle w:val="Heading2"/>
        <w:spacing w:after="120" w:before="260"/>
      </w:pPr>
      <w:r>
        <w:rPr>
          <w:rFonts w:ascii="Cambria" w:cs="Cambria" w:eastAsia="Cambria" w:hAnsi="Cambria"/>
          <w:b/>
          <w:bCs/>
          <w:color w:val="1B4A8A"/>
          <w:sz w:val="24"/>
          <w:szCs w:val="24"/>
        </w:rPr>
        <w:t xml:space="preserve">3.5 Kepatuhan &amp; Kebijakan (CMP, POL)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6"/>
        <w:gridCol w:w="1625"/>
        <w:gridCol w:w="902"/>
      </w:tblGrid>
      <w:tr>
        <w:trPr>
          <w:tblHeader/>
        </w:trPr>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541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Kebutuhan Fungsional</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BR Terkait</w:t>
            </w:r>
          </w:p>
        </w:tc>
        <w:tc>
          <w:tcPr>
            <w:tcW w:type="dxa" w:w="90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Pri.</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FR-CMP-001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Memelihara regulation library (POJK, PBI, SEOJK, ISO, standar internal) dengan nomor, judul, tanggal berlaku, dan teks/tautan.</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BR-038</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FR-CMP-002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Memecah regulasi menjadi obligation register — daftar kewajiban tingkat pasal/klausul yang dapat ditugaskan.</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BR-038</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FR-CMP-003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Memetakan setiap kewajiban ke satu atau lebih pengendalian dari control library yang sama.</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BR-001, BR-038</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FR-CMP-004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Menjalankan asesmen kepatuhan berkala dan menghasilkan gap analysis atas kewajiban yang belum memiliki pengendalian atau buktinya.</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BR-038</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FR-CMP-005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Menyediakan kalender kepatuhan dengan peringatan dini atas tenggat pelaporan regulasi.</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BR-041</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FR-CMP-006</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Membentuk action plan otomatis dari setiap gap kepatuhan dan mengalirkannya ke action tracker terpadu.</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BR-008</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FR-POL-001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Mengelola hierarki dokumen kebijakan: kebijakan → standar → prosedur → SOP → instruksi kerja → pedoman.</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BR-039</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FR-POL-002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Mengelola siklus hidup kebijakan: draf, reviu, persetujuan, publikasi, berlaku, ditinjau, dicabut.</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BR-039</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FR-POL-003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Mengonfigurasi alur persetujuan berjenjang per jenis kebijakan; kebijakan pengendalian internal pelaporan keuangan wajib melewati Dewan Komisaris lalu Direktur Utama.</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BR-040</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FR-POL-004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Menyimpan bukti persetujuan (identitas, waktu, tanda tangan digital) secara permanen dan tidak dapat diubah.</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BR-040</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FR-POL-005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Mendistribusikan kebijakan kepada pegawai berdasarkan peran dan merekam acknowledgement beserta waktunya.</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BR-042</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FR-POL-006</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Menjadwalkan reviu berkala otomatis dan memberi notifikasi kepada pemilik kebijakan sebelum masa berlaku berakhir.</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BR-039</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FR-POL-007</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Menautkan kebijakan ke pengendalian dan kewajiban regulasi yang ditopangnya.</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BR-038, BR-039</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bl>
    <w:p>
      <w:pPr>
        <w:pStyle w:val="Heading2"/>
        <w:spacing w:after="120" w:before="260"/>
      </w:pPr>
      <w:r>
        <w:rPr>
          <w:rFonts w:ascii="Cambria" w:cs="Cambria" w:eastAsia="Cambria" w:hAnsi="Cambria"/>
          <w:b/>
          <w:bCs/>
          <w:color w:val="1B4A8A"/>
          <w:sz w:val="24"/>
          <w:szCs w:val="24"/>
        </w:rPr>
        <w:t xml:space="preserve">3.6 Teknologi: ITG, ITA, DMS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6"/>
        <w:gridCol w:w="1625"/>
        <w:gridCol w:w="902"/>
      </w:tblGrid>
      <w:tr>
        <w:trPr>
          <w:tblHeader/>
        </w:trPr>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541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Kebutuhan Fungsional</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BR Terkait</w:t>
            </w:r>
          </w:p>
        </w:tc>
        <w:tc>
          <w:tcPr>
            <w:tcW w:type="dxa" w:w="90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Pri.</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FR-ITG-001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Mengelola ITGC atas empat domain: logical &amp; privileged access, change management, backup &amp; restore, IT operations (batch, job, patch, monitoring).</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BR-043</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FR-ITG-002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Menautkan setiap ITGC ke aplikasi signifikan dan ke pengendalian aplikasi (ITAC) yang bergantung padanya.</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BR-043</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FR-ITG-003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Menarik bukti ITGC otomatis dari sistem sumber: daftar pengguna &amp; hak akses, log perubahan, log backup, log patch.</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BR-044</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FR-ITG-004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Menjalankan uji periodik atas kesesuaian hak akses terhadap matriks kewenangan (user access review) dengan hasil terekam.</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BR-043</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FR-ITG-005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Menandai akun istimewa (privileged) dan akun generik untuk pengujian terpisah.</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BR-043</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FR-ITG-006</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Menampilkan status ITGC per aplikasi signifikan; kegagalan ITGC menandai seluruh pengendalian otomatis yang bergantung padanya sebagai berisiko.</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BR-043</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FR-ITA-001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Memelihara CMDB: hardware, software, aplikasi, basis data, layanan cloud, lisensi, sertifikat.</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BR-045</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FR-ITA-002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Memelihara dependency mapping antara aplikasi, basis data, dan akun signifikan yang dipengaruhinya.</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BR-045</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FR-ITA-003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Memantau masa berlaku lisensi dan sertifikat dengan peringatan dini.</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BR-045</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C</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FR-ITA-004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Mengelola siklus hidup aset dari pengadaan hingga penghapusan.</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BR-045</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C</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FR-DMS-001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Menyimpan setiap dokumen dengan hash integritas (SHA-256), versi, klasifikasi kerahasiaan, pemilik, dan kebijakan retensi.</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BR-046</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FR-DMS-002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Menolak penghapusan dokumen yang belum melewati periode retensi (BRL-011).</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BR-046</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FR-DMS-003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Menyediakan pencarian teks penuh lintas dokumen termasuk hasil OCR atas dokumen pindaian.</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BR-047</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FR-DMS-004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Memberi watermark dinamis (nama pengunduh, NIP, waktu unduh) pada dokumen sensitif yang diunduh.</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BR-065</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FR-DMS-005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Memindai setiap unggahan terhadap malware sebelum disimpan.</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BR-046</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FR-DMS-006</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Mencatat setiap akses dokumen (buka, unduh, cetak) dalam jejak audit.</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BR-002</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bl>
    <w:p>
      <w:pPr>
        <w:pStyle w:val="Heading2"/>
        <w:spacing w:after="120" w:before="260"/>
      </w:pPr>
      <w:r>
        <w:rPr>
          <w:rFonts w:ascii="Cambria" w:cs="Cambria" w:eastAsia="Cambria" w:hAnsi="Cambria"/>
          <w:b/>
          <w:bCs/>
          <w:color w:val="1B4A8A"/>
          <w:sz w:val="24"/>
          <w:szCs w:val="24"/>
        </w:rPr>
        <w:t xml:space="preserve">3.7 Internal Audit (IAD)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6"/>
        <w:gridCol w:w="1625"/>
        <w:gridCol w:w="902"/>
      </w:tblGrid>
      <w:tr>
        <w:trPr>
          <w:tblHeader/>
        </w:trPr>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541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Kebutuhan Fungsional</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BR Terkait</w:t>
            </w:r>
          </w:p>
        </w:tc>
        <w:tc>
          <w:tcPr>
            <w:tcW w:type="dxa" w:w="90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Pri.</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FR-IAD-001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Memelihara audit universe dengan skor risiko yang ditarik dari risiko residual platform — bukan dari penilaian terpisah.</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BR-048</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FR-IAD-002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Menyusun audit plan tahunan berbasis risiko dengan alokasi sumber daya dan jadwal.</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BR-048</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FR-IAD-003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Mengelola audit program dan checklist per penugasan.</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BR-049</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FR-IAD-004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Mendukung sampling audit dengan metode yang dapat dipilih dan populasi yang dapat ditarik dari sistem sumber.</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BR-049</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FR-IAD-005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Merekam observasi, temuan, rekomendasi, dan tanggapan manajemen.</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BR-049</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FR-IAD-006</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Membentuk CAPA otomatis dari setiap temuan dan mengalirkannya ke action tracker terpadu yang sama dengan defisiensi ICOFR.</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BR-050</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FR-IAD-007</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Memantau follow-up temuan hingga penutupan dengan bukti verifikasi.</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BR-049</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FR-IAD-008</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Menyusun opini audit dan laporan penugasan dari data temuan.</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BR-049</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bl>
    <w:p>
      <w:pPr>
        <w:pStyle w:val="Heading2"/>
        <w:spacing w:after="120" w:before="260"/>
      </w:pPr>
      <w:r>
        <w:rPr>
          <w:rFonts w:ascii="Cambria" w:cs="Cambria" w:eastAsia="Cambria" w:hAnsi="Cambria"/>
          <w:b/>
          <w:bCs/>
          <w:color w:val="1B4A8A"/>
          <w:sz w:val="24"/>
          <w:szCs w:val="24"/>
        </w:rPr>
        <w:t xml:space="preserve">3.8 Reporting (RPT)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6"/>
        <w:gridCol w:w="1625"/>
        <w:gridCol w:w="902"/>
      </w:tblGrid>
      <w:tr>
        <w:trPr>
          <w:tblHeader/>
        </w:trPr>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541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Kebutuhan Fungsional</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BR Terkait</w:t>
            </w:r>
          </w:p>
        </w:tc>
        <w:tc>
          <w:tcPr>
            <w:tcW w:type="dxa" w:w="90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Pri.</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FR-RPT-001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Membangkitkan Laporan Pengendalian Internal atas Proses Pelaporan Keuangan untuk OJK sesuai format yang berlaku, langsung dari data pengujian.</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BR-051</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FR-RPT-002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Laporan OJK ditandatangani digital oleh Direksi dan diarsipkan dalam penyimpanan immutable.</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BR-051, BR-064</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FR-RPT-003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Membangkitkan Laporan Asesmen Manajemen atas efektivitas ICOFR beserta lampiran register defisiensi.</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BR-051</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FR-RPT-004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Membangkitkan paket laporan Direksi, Dewan Komisaris, dan Komite Audit dengan tingkat rincian berbeda dari sumber data yang sama.</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BR-052</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FR-RPT-005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Mengekspor seluruh laporan ke PDF, Word, Excel, dan PowerPoint dengan template bermerek Bank.</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BR-053</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FR-RPT-006</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Menjadwalkan pembangkitan dan pengiriman laporan berkala secara otomatis.</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BR-052</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FR-RPT-007</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Menyediakan report builder untuk laporan ad-hoc dengan pemilihan dimensi, filter, dan visualisasi.</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BR-052</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FR-RPT-008</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Setiap laporan mencantumkan tanggal cut-off data, sumber, dan identitas pembangkit untuk keperluan audit.</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BR-002</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bl>
    <w:p>
      <w:pPr>
        <w:pStyle w:val="Heading2"/>
        <w:spacing w:after="120" w:before="260"/>
      </w:pPr>
      <w:r>
        <w:rPr>
          <w:rFonts w:ascii="Cambria" w:cs="Cambria" w:eastAsia="Cambria" w:hAnsi="Cambria"/>
          <w:b/>
          <w:bCs/>
          <w:color w:val="1B4A8A"/>
          <w:sz w:val="24"/>
          <w:szCs w:val="24"/>
        </w:rPr>
        <w:t xml:space="preserve">3.9 AI Assistant (AIA)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6"/>
        <w:gridCol w:w="1625"/>
        <w:gridCol w:w="902"/>
      </w:tblGrid>
      <w:tr>
        <w:trPr>
          <w:tblHeader/>
        </w:trPr>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541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Kebutuhan Fungsional</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BR Terkait</w:t>
            </w:r>
          </w:p>
        </w:tc>
        <w:tc>
          <w:tcPr>
            <w:tcW w:type="dxa" w:w="90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Pri.</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FR-AIA-001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Menyusun draf BPM, SIPOC, flowchart, dan narasi proses dari deskripsi bebas atau dokumen SOP yang diunggah.</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BR-055</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FR-AIA-002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Menyusun draf risiko dan pengendalian (RCM) dari BPM, lengkap dengan usulan asersi, jenis, sifat, dan frekuensi.</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BR-055</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FR-AIA-003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Menyusun draf prosedur ToD, prosedur ToE, rencana sampling, dan kertas kerja dari data RCM.</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BR-056</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FR-AIA-004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Menyusun draf analisis akar masalah dan rencana CAPA dari deskripsi defisiensi atau insiden.</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BR-056</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FR-AIA-005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Menyusun draf ringkasan eksekutif, laporan manajemen, dan laporan OJK dari data pengujian.</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BR-056</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FR-AIA-006</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Menjawab pertanyaan atas dokumen, kebijakan, hasil audit, register risiko, dan data ICOFR dengan mencantumkan kutipan sumber yang dapat diklik.</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BR-057</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FR-AIA-007</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Menandai seluruh keluaran AI dengan status "Draf — Belum Divalidasi" dan mengecualikannya dari perhitungan skor apa pun sampai disetujui manusia (BRL-010).</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BR-058</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FR-AIA-008</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Mencatat identitas penyetuju, waktu, dan perubahan yang dilakukan manusia terhadap setiap keluaran AI.</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BR-058</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FR-AIA-009</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Meredaksi PII dan data nasabah sebelum konten dikirim ke model; hasil redaksi dapat diaudit.</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BR-059</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FR-AIA-010</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Menyediakan predictive risk indicator dan deteksi anomali atas pola kegagalan pengendalian.</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BR-057</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C</w:t>
            </w:r>
          </w:p>
        </w:tc>
      </w:tr>
    </w:tbl>
    <w:p>
      <w:pPr>
        <w:pStyle w:val="Heading2"/>
        <w:spacing w:after="120" w:before="260"/>
      </w:pPr>
      <w:r>
        <w:rPr>
          <w:rFonts w:ascii="Cambria" w:cs="Cambria" w:eastAsia="Cambria" w:hAnsi="Cambria"/>
          <w:b/>
          <w:bCs/>
          <w:color w:val="1B4A8A"/>
          <w:sz w:val="24"/>
          <w:szCs w:val="24"/>
        </w:rPr>
        <w:t xml:space="preserve">3.10 Administration &amp; Security (ADM)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6"/>
        <w:gridCol w:w="1625"/>
        <w:gridCol w:w="902"/>
      </w:tblGrid>
      <w:tr>
        <w:trPr>
          <w:tblHeader/>
        </w:trPr>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541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Kebutuhan Fungsional</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BR Terkait</w:t>
            </w:r>
          </w:p>
        </w:tc>
        <w:tc>
          <w:tcPr>
            <w:tcW w:type="dxa" w:w="90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Pri.</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FR-ADM-001</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Mengelola peran berbasis RBAC dengan hierarki peran dan pewarisan hak akses.</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BR-060</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FR-ADM-002</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Mendukung ABAC: hak akses dievaluasi berdasarkan atribut pengguna (unit, lini, jabatan) dan atribut objek (siklus, klasifikasi, pemilik).</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BR-060</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FR-ADM-003</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Mendefinisikan aturan pemisahan tugas (SoD) yang ditegakkan sistem; upaya penugasan yang melanggar ditolak dengan pesan yang menjelaskan aturan mana yang dilanggar.</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BR-060</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FR-ADM-004</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Mendukung SSO melalui SAML 2.0 atau OpenID Connect terhadap direktori identitas Bank.</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BR-061</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FR-ADM-005</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Mewajibkan MFA untuk seluruh peran istimewa dan untuk tindakan bernilai tinggi (tanda tangan atestasi, perubahan konfigurasi keamanan).</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BR-061</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FR-ADM-006</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Menerapkan pembatasan IP, geo-restriction, device binding, dan session timeout yang dapat dikonfigurasi per peran.</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BR-063</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FR-ADM-007</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Mencatat seluruh perubahan data material dalam jejak audit append-only ber-hash-chain; tidak ada peran — termasuk Super Admin — yang dapat mengubah atau menghapusnya.</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BR-002</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FR-ADM-008</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Mengelola master data terpusat: siklus, unit, akun, asersi, kategori risiko, kategori Basel.</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BR-001</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FR-ADM-009</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Mengelola akses auditor eksternal: hanya-baca, terbatas ruang lingkup, dengan tanggal kedaluwarsa otomatis (BRL-012).</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BR-060</w:t>
            </w:r>
          </w:p>
        </w:tc>
        <w:tc>
          <w:tcPr>
            <w:tcW w:type="dxa" w:w="90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FR-ADM-010</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Menyediakan konsol AI Admin: konfigurasi model, prompt sistem, aturan redaksi PII, dan pemantauan penggunaan.</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BR-059</w:t>
            </w:r>
          </w:p>
        </w:tc>
        <w:tc>
          <w:tcPr>
            <w:tcW w:type="dxa" w:w="90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4. KEBUTUHAN NON-FUNGSIONAL</w:t>
      </w:r>
    </w:p>
    <w:p>
      <w:pPr>
        <w:spacing w:after="120" w:line="276"/>
        <w:jc w:val="both"/>
      </w:pPr>
      <w:r>
        <w:rPr>
          <w:rFonts w:ascii="Calibri" w:cs="Calibri" w:eastAsia="Calibri" w:hAnsi="Calibri"/>
          <w:color w:val="20293A"/>
          <w:sz w:val="21"/>
          <w:szCs w:val="21"/>
        </w:rPr>
        <w:t xml:space="preserve">Setiap NFR memiliki target terukur. Kebutuhan non-fungsional tanpa angka bukanlah kebutuhan — ia adalah harapan, dan harapan tidak dapat diuji. Target di bawah menjadi dasar uji kinerja dan uji beban pada DOK-34.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1354"/>
        <w:gridCol w:w="4694"/>
        <w:gridCol w:w="2256"/>
      </w:tblGrid>
      <w:tr>
        <w:trPr>
          <w:tblHeader/>
        </w:trPr>
        <w:tc>
          <w:tcPr>
            <w:tcW w:type="dxa" w:w="72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135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Kategori</w:t>
            </w:r>
          </w:p>
        </w:tc>
        <w:tc>
          <w:tcPr>
            <w:tcW w:type="dxa" w:w="469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Kebutuhan</w:t>
            </w:r>
          </w:p>
        </w:tc>
        <w:tc>
          <w:tcPr>
            <w:tcW w:type="dxa" w:w="225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Target</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NFR-001</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Kinerja</w:t>
            </w:r>
          </w:p>
        </w:tc>
        <w:tc>
          <w:tcPr>
            <w:tcW w:type="dxa" w:w="469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muat halaman dasbor (P95) pada koneksi 4G.</w:t>
            </w:r>
          </w:p>
        </w:tc>
        <w:tc>
          <w:tcPr>
            <w:tcW w:type="dxa" w:w="225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2,5 detik</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NFR-002</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Kinerja</w:t>
            </w:r>
          </w:p>
        </w:tc>
        <w:tc>
          <w:tcPr>
            <w:tcW w:type="dxa" w:w="469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respons API baca (P95) untuk kueri terindeks.</w:t>
            </w:r>
          </w:p>
        </w:tc>
        <w:tc>
          <w:tcPr>
            <w:tcW w:type="dxa" w:w="225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300 ms</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NFR-003</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Kinerja</w:t>
            </w:r>
          </w:p>
        </w:tc>
        <w:tc>
          <w:tcPr>
            <w:tcW w:type="dxa" w:w="469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respons API tulis (P95).</w:t>
            </w:r>
          </w:p>
        </w:tc>
        <w:tc>
          <w:tcPr>
            <w:tcW w:type="dxa" w:w="225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800 ms</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NFR-004</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Kinerja</w:t>
            </w:r>
          </w:p>
        </w:tc>
        <w:tc>
          <w:tcPr>
            <w:tcW w:type="dxa" w:w="469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bangkit Laporan OJK dari data pengujian lengkap.</w:t>
            </w:r>
          </w:p>
        </w:tc>
        <w:tc>
          <w:tcPr>
            <w:tcW w:type="dxa" w:w="225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60 detik</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NFR-005</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Kinerja</w:t>
            </w:r>
          </w:p>
        </w:tc>
        <w:tc>
          <w:tcPr>
            <w:tcW w:type="dxa" w:w="469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tanggap awal AI Assistant (token pertama).</w:t>
            </w:r>
          </w:p>
        </w:tc>
        <w:tc>
          <w:tcPr>
            <w:tcW w:type="dxa" w:w="225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3 detik</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NFR-006</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Kinerja</w:t>
            </w:r>
          </w:p>
        </w:tc>
        <w:tc>
          <w:tcPr>
            <w:tcW w:type="dxa" w:w="469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Waktu pencarian dokumen teks penuh atas 1 juta dokumen.</w:t>
            </w:r>
          </w:p>
        </w:tc>
        <w:tc>
          <w:tcPr>
            <w:tcW w:type="dxa" w:w="225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1 detik</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NFR-007</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Skalabilitas</w:t>
            </w:r>
          </w:p>
        </w:tc>
        <w:tc>
          <w:tcPr>
            <w:tcW w:type="dxa" w:w="469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Pengguna bernama (named users) yang didukung.</w:t>
            </w:r>
          </w:p>
        </w:tc>
        <w:tc>
          <w:tcPr>
            <w:tcW w:type="dxa" w:w="225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2.000</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NFR-008</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Skalabilitas</w:t>
            </w:r>
          </w:p>
        </w:tc>
        <w:tc>
          <w:tcPr>
            <w:tcW w:type="dxa" w:w="469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Pengguna serentak (concurrent) pada puncak siklus CSA.</w:t>
            </w:r>
          </w:p>
        </w:tc>
        <w:tc>
          <w:tcPr>
            <w:tcW w:type="dxa" w:w="225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500</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NFR-009</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Skalabilitas</w:t>
            </w:r>
          </w:p>
        </w:tc>
        <w:tc>
          <w:tcPr>
            <w:tcW w:type="dxa" w:w="469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Volume pengendalian yang dikelola tanpa degradasi kinerja.</w:t>
            </w:r>
          </w:p>
        </w:tc>
        <w:tc>
          <w:tcPr>
            <w:tcW w:type="dxa" w:w="225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10.000</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NFR-010</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Skalabilitas</w:t>
            </w:r>
          </w:p>
        </w:tc>
        <w:tc>
          <w:tcPr>
            <w:tcW w:type="dxa" w:w="469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Volume bukti tersimpan.</w:t>
            </w:r>
          </w:p>
        </w:tc>
        <w:tc>
          <w:tcPr>
            <w:tcW w:type="dxa" w:w="225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20 TB, dapat diperluas</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NFR-011</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Skalabilitas</w:t>
            </w:r>
          </w:p>
        </w:tc>
        <w:tc>
          <w:tcPr>
            <w:tcW w:type="dxa" w:w="469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Penskalaan horizontal layanan aplikasi tanpa henti layanan.</w:t>
            </w:r>
          </w:p>
        </w:tc>
        <w:tc>
          <w:tcPr>
            <w:tcW w:type="dxa" w:w="225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Wajib didukung</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NFR-012</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Ketersediaan</w:t>
            </w:r>
          </w:p>
        </w:tc>
        <w:tc>
          <w:tcPr>
            <w:tcW w:type="dxa" w:w="469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Ketersediaan layanan pada jam kerja (uptime bulanan).</w:t>
            </w:r>
          </w:p>
        </w:tc>
        <w:tc>
          <w:tcPr>
            <w:tcW w:type="dxa" w:w="225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99,9%</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NFR-013</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Ketersediaan</w:t>
            </w:r>
          </w:p>
        </w:tc>
        <w:tc>
          <w:tcPr>
            <w:tcW w:type="dxa" w:w="469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Recovery Time Objective (RTO).</w:t>
            </w:r>
          </w:p>
        </w:tc>
        <w:tc>
          <w:tcPr>
            <w:tcW w:type="dxa" w:w="225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4 jam</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NFR-014</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Ketersediaan</w:t>
            </w:r>
          </w:p>
        </w:tc>
        <w:tc>
          <w:tcPr>
            <w:tcW w:type="dxa" w:w="469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Recovery Point Objective (RPO).</w:t>
            </w:r>
          </w:p>
        </w:tc>
        <w:tc>
          <w:tcPr>
            <w:tcW w:type="dxa" w:w="225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15 menit</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NFR-015</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Ketersediaan</w:t>
            </w:r>
          </w:p>
        </w:tc>
        <w:tc>
          <w:tcPr>
            <w:tcW w:type="dxa" w:w="469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Arsitektur tanpa titik kegagalan tunggal (no SPOF) pada lapisan aplikasi &amp; basis data.</w:t>
            </w:r>
          </w:p>
        </w:tc>
        <w:tc>
          <w:tcPr>
            <w:tcW w:type="dxa" w:w="225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Wajib</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NFR-016</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Keandalan</w:t>
            </w:r>
          </w:p>
        </w:tc>
        <w:tc>
          <w:tcPr>
            <w:tcW w:type="dxa" w:w="469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Integritas jejak audit — verifikasi hash-chain berkala.</w:t>
            </w:r>
          </w:p>
        </w:tc>
        <w:tc>
          <w:tcPr>
            <w:tcW w:type="dxa" w:w="225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100% tanpa celah</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NFR-017</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Keandalan</w:t>
            </w:r>
          </w:p>
        </w:tc>
        <w:tc>
          <w:tcPr>
            <w:tcW w:type="dxa" w:w="469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Transaksi bisnis bersifat atomik; kegagalan parsial tidak meninggalkan data setengah jadi.</w:t>
            </w:r>
          </w:p>
        </w:tc>
        <w:tc>
          <w:tcPr>
            <w:tcW w:type="dxa" w:w="225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Wajib (ACID)</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NFR-018</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Usability</w:t>
            </w:r>
          </w:p>
        </w:tc>
        <w:tc>
          <w:tcPr>
            <w:tcW w:type="dxa" w:w="469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Pengguna baru dapat menyelesaikan CSA atas satu kontrol tanpa pelatihan.</w:t>
            </w:r>
          </w:p>
        </w:tc>
        <w:tc>
          <w:tcPr>
            <w:tcW w:type="dxa" w:w="225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5 menit, tanpa bantuan</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NFR-019</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Usability</w:t>
            </w:r>
          </w:p>
        </w:tc>
        <w:tc>
          <w:tcPr>
            <w:tcW w:type="dxa" w:w="469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Setiap layar menyediakan contextual help dan tooltip atas istilah teknis ICOFR.</w:t>
            </w:r>
          </w:p>
        </w:tc>
        <w:tc>
          <w:tcPr>
            <w:tcW w:type="dxa" w:w="225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Wajib</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NFR-020</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Usability</w:t>
            </w:r>
          </w:p>
        </w:tc>
        <w:tc>
          <w:tcPr>
            <w:tcW w:type="dxa" w:w="469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Fungsi utama dapat dicapai dalam maksimal tiga klik dari beranda.</w:t>
            </w:r>
          </w:p>
        </w:tc>
        <w:tc>
          <w:tcPr>
            <w:tcW w:type="dxa" w:w="225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Wajib</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NFR-021</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Usability</w:t>
            </w:r>
          </w:p>
        </w:tc>
        <w:tc>
          <w:tcPr>
            <w:tcW w:type="dxa" w:w="469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Tersedia guided tour, wizard untuk alur kompleks, dan pintasan papan ketik.</w:t>
            </w:r>
          </w:p>
        </w:tc>
        <w:tc>
          <w:tcPr>
            <w:tcW w:type="dxa" w:w="225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Wajib</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NFR-022</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Aksesibilitas</w:t>
            </w:r>
          </w:p>
        </w:tc>
        <w:tc>
          <w:tcPr>
            <w:tcW w:type="dxa" w:w="469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Kesesuaian terhadap WCAG 2.1 Level AA.</w:t>
            </w:r>
          </w:p>
        </w:tc>
        <w:tc>
          <w:tcPr>
            <w:tcW w:type="dxa" w:w="225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Wajib</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NFR-023</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Aksesibilitas</w:t>
            </w:r>
          </w:p>
        </w:tc>
        <w:tc>
          <w:tcPr>
            <w:tcW w:type="dxa" w:w="469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Rasio kontras warna minimum pada mode terang dan gelap.</w:t>
            </w:r>
          </w:p>
        </w:tc>
        <w:tc>
          <w:tcPr>
            <w:tcW w:type="dxa" w:w="225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4,5:1 (teks normal)</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NFR-024</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Kompatibilitas</w:t>
            </w:r>
          </w:p>
        </w:tc>
        <w:tc>
          <w:tcPr>
            <w:tcW w:type="dxa" w:w="469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Peramban yang didukung.</w:t>
            </w:r>
          </w:p>
        </w:tc>
        <w:tc>
          <w:tcPr>
            <w:tcW w:type="dxa" w:w="225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Chrome, Edge, Safari, Firefox — 2 versi terakhir</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NFR-025</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Kompatibilitas</w:t>
            </w:r>
          </w:p>
        </w:tc>
        <w:tc>
          <w:tcPr>
            <w:tcW w:type="dxa" w:w="469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Perangkat yang didukung.</w:t>
            </w:r>
          </w:p>
        </w:tc>
        <w:tc>
          <w:tcPr>
            <w:tcW w:type="dxa" w:w="225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Desktop, laptop, tablet, Android, iPhone, foldable — potret &amp; lanskap</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NFR-026</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Kompatibilitas</w:t>
            </w:r>
          </w:p>
        </w:tc>
        <w:tc>
          <w:tcPr>
            <w:tcW w:type="dxa" w:w="469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Progressive Web App dengan kemampuan luring untuk pengisian CSA.</w:t>
            </w:r>
          </w:p>
        </w:tc>
        <w:tc>
          <w:tcPr>
            <w:tcW w:type="dxa" w:w="225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Wajib (Rilis 2)</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NFR-027</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Maintainability</w:t>
            </w:r>
          </w:p>
        </w:tc>
        <w:tc>
          <w:tcPr>
            <w:tcW w:type="dxa" w:w="469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Cakupan pengujian otomatis atas logika bisnis inti.</w:t>
            </w:r>
          </w:p>
        </w:tc>
        <w:tc>
          <w:tcPr>
            <w:tcW w:type="dxa" w:w="225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80%</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NFR-028</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Maintainability</w:t>
            </w:r>
          </w:p>
        </w:tc>
        <w:tc>
          <w:tcPr>
            <w:tcW w:type="dxa" w:w="469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Seluruh konfigurasi (alur, SLA, threshold, matriks kewenangan) dapat diubah tanpa penggelaran ulang kode.</w:t>
            </w:r>
          </w:p>
        </w:tc>
        <w:tc>
          <w:tcPr>
            <w:tcW w:type="dxa" w:w="225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Wajib</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NFR-029</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Observability</w:t>
            </w:r>
          </w:p>
        </w:tc>
        <w:tc>
          <w:tcPr>
            <w:tcW w:type="dxa" w:w="469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Log terstruktur, metrik, dan distributed tracing tersedia untuk seluruh layanan.</w:t>
            </w:r>
          </w:p>
        </w:tc>
        <w:tc>
          <w:tcPr>
            <w:tcW w:type="dxa" w:w="225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Wajib</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NFR-030</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Portabilitas</w:t>
            </w:r>
          </w:p>
        </w:tc>
        <w:tc>
          <w:tcPr>
            <w:tcW w:type="dxa" w:w="469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Dapat digelar di on-premise maupun sovereign cloud Indonesia tanpa perubahan kode.</w:t>
            </w:r>
          </w:p>
        </w:tc>
        <w:tc>
          <w:tcPr>
            <w:tcW w:type="dxa" w:w="225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Wajib</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NFR-031</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Lokalisasi</w:t>
            </w:r>
          </w:p>
        </w:tc>
        <w:tc>
          <w:tcPr>
            <w:tcW w:type="dxa" w:w="469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Antarmuka dan seluruh laporan dalam Bahasa Indonesia; istilah teknis ICOFR dipertahankan.</w:t>
            </w:r>
          </w:p>
        </w:tc>
        <w:tc>
          <w:tcPr>
            <w:tcW w:type="dxa" w:w="225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Wajib</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NFR-032</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Retensi</w:t>
            </w:r>
          </w:p>
        </w:tc>
        <w:tc>
          <w:tcPr>
            <w:tcW w:type="dxa" w:w="469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Data pengujian, bukti, dan jejak audit dipertahankan.</w:t>
            </w:r>
          </w:p>
        </w:tc>
        <w:tc>
          <w:tcPr>
            <w:tcW w:type="dxa" w:w="225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9C6C11"/>
                <w:sz w:val="16"/>
                <w:szCs w:val="16"/>
              </w:rPr>
              <w:t xml:space="preserve">≥ 10 tahun</w:t>
            </w:r>
          </w:p>
        </w:tc>
      </w:tr>
    </w:tbl>
    <w:p>
      <w:pPr>
        <w:spacing w:after="180" w:before="60"/>
        <w:jc w:val="left"/>
      </w:pPr>
      <w:r>
        <w:rPr>
          <w:rFonts w:ascii="Calibri" w:cs="Calibri" w:eastAsia="Calibri" w:hAnsi="Calibri"/>
          <w:i/>
          <w:iCs/>
          <w:color w:val="5C6B7E"/>
          <w:sz w:val="17"/>
          <w:szCs w:val="17"/>
        </w:rPr>
        <w:t xml:space="preserve">Tabel 4 — 32 kebutuhan non-fungsional dengan target terukur.</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5. KEBUTUHAN KEAMANAN</w:t>
      </w:r>
    </w:p>
    <w:p>
      <w:pPr>
        <w:spacing w:after="120" w:line="276"/>
        <w:jc w:val="both"/>
      </w:pPr>
      <w:r>
        <w:rPr>
          <w:rFonts w:ascii="Calibri" w:cs="Calibri" w:eastAsia="Calibri" w:hAnsi="Calibri"/>
          <w:color w:val="20293A"/>
          <w:sz w:val="21"/>
          <w:szCs w:val="21"/>
        </w:rPr>
        <w:t xml:space="preserve">Basis data pengendalian internal adalah peta kelemahan Bank. Platform yang mengumpulkan seluruh informasi ini di satu tempat menciptakan konsentrasi risiko yang tidak ada sebelumnya (risiko RB-06 pada DOK-01). Karena itu keamanan bukan kebutuhan non-fungsional biasa — ia mendapat bab tersendiri dan 35 kebutuhan yang mengikat.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C0891F" w:sz="24"/>
              <w:bottom w:val="none" w:color="auto" w:sz="0"/>
              <w:right w:val="none" w:color="auto" w:sz="0"/>
            </w:tcBorders>
            <w:shd w:fill="F6ECD4"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Prinsip Zero Trust yang Diterapkan</w:t>
            </w:r>
          </w:p>
          <w:p>
            <w:pPr>
              <w:spacing w:after="40" w:line="264"/>
              <w:jc w:val="both"/>
            </w:pPr>
            <w:r>
              <w:rPr>
                <w:rFonts w:ascii="Calibri" w:cs="Calibri" w:eastAsia="Calibri" w:hAnsi="Calibri"/>
                <w:color w:val="20293A"/>
                <w:sz w:val="19"/>
                <w:szCs w:val="19"/>
              </w:rPr>
              <w:t xml:space="preserve">Tidak ada kepercayaan implisit berbasis lokasi jaringan. Setiap permintaan — dari dalam maupun dari luar — diautentikasi, diotorisasi ulang pada policy decision point, dan dienkripsi. Identitas, perangkat, dan konteks dievaluasi setiap kali, bukan sekali saat login.</w:t>
            </w:r>
          </w:p>
          <w:p>
            <w:pPr>
              <w:spacing w:after="40" w:line="264"/>
              <w:jc w:val="both"/>
            </w:pPr>
            <w:r>
              <w:rPr>
                <w:rFonts w:ascii="Calibri" w:cs="Calibri" w:eastAsia="Calibri" w:hAnsi="Calibri"/>
                <w:color w:val="20293A"/>
                <w:sz w:val="19"/>
                <w:szCs w:val="19"/>
              </w:rPr>
              <w:t xml:space="preserve">Konsekuensi paling penting: SEC-014 menetapkan bahwa tidak ada peran, termasuk Super Admin dan DBA, yang dapat mengubah atau menghapus jejak audit. Sistem yang administratornya dapat menghapus jejaknya sendiri tidak dapat dipakai untuk membuktikan apa pun.</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1264"/>
        <w:gridCol w:w="5416"/>
        <w:gridCol w:w="1624"/>
      </w:tblGrid>
      <w:tr>
        <w:trPr>
          <w:tblHeader/>
        </w:trPr>
        <w:tc>
          <w:tcPr>
            <w:tcW w:type="dxa" w:w="72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12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Domain</w:t>
            </w:r>
          </w:p>
        </w:tc>
        <w:tc>
          <w:tcPr>
            <w:tcW w:type="dxa" w:w="541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Kebutuhan Keamanan</w:t>
            </w:r>
          </w:p>
        </w:tc>
        <w:tc>
          <w:tcPr>
            <w:tcW w:type="dxa" w:w="162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Sumber</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SEC-001</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Identitas</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Autentikasi melalui SSO (SAML 2.0 / OpenID Connect) terhadap direktori identitas Bank.</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BR-061</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SEC-002</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Identitas</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MFA wajib untuk seluruh peran istimewa dan tindakan bernilai tinggi (atestasi, perubahan konfigurasi keamanan, ekspor massal).</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BR-061</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SEC-003</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Identitas</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Token akses berumur pendek (≤ 15 menit) dengan refresh token yang dapat dicabut.</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BR-061</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SEC-004</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Identitas</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Device binding: sesi terikat pada sidik perangkat; perangkat baru memicu verifikasi ulang.</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BR-063</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SEC-005</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Otorisasi</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RBAC dengan hierarki peran; hak akses default adalah tidak ada akses (deny by default).</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BR-060</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SEC-006</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Otorisasi</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ABAC: keputusan otorisasi mempertimbangkan atribut pengguna, objek, aksi, dan konteks (waktu, lokasi, perangkat).</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BR-060</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SEC-007</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Otorisasi</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Setiap permintaan diotorisasi ulang pada policy decision point; tidak ada kepercayaan berbasis sesi atau jaringan.</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Zero Trust</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SEC-008</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Otorisasi</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Aturan pemisahan tugas ditegakkan pada lapisan layanan, bukan hanya pada antarmuka.</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BR-060</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SEC-009</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Enkripsi</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Seluruh lalu lintas menggunakan TLS 1.3; TLS 1.2 hanya sebagai fallback terkendali; versi di bawahnya ditolak.</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BR-062</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SEC-010</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Enkripsi</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Data saat diam dienkripsi AES-256 pada tingkat basis data dan penyimpanan objek.</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BR-062</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SEC-011</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Enkripsi</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Kolom sensitif (PII, nilai kerugian, isi defisiensi) dienkripsi pada tingkat kolom dengan kunci terpisah.</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BR-062</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SEC-012</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Enkripsi</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Kunci dikelola dalam key vault/HSM terpisah dengan rotasi terjadwal dan pemisahan tugas atas akses kunci.</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BR-062</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SEC-013</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Jejak Audit</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Log audit bersifat append-only dengan hash-chain; setiap entri menautkan hash entri sebelumnya.</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BR-002</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SEC-014</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Jejak Audit</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Tidak ada peran — termasuk Super Admin dan DBA — yang dapat mengubah atau menghapus entri log audit.</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BR-002</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SEC-015</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Jejak Audit</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Log audit direplikasi ke penyimpanan WORM terpisah secara berkala.</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BR-002</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SEC-016</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Jejak Audit</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Log mencatat: siapa, apa, kapan, dari mana (IP &amp; perangkat), nilai sebelum, nilai sesudah.</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BR-002</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SEC-017</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Aplikasi</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Pemenuhan OWASP ASVS Level 2 sebagai baseline; Level 3 untuk modul atestasi dan pelaporan OJK.</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OWASP</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SEC-018</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Aplikasi</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Proteksi terhadap OWASP Top 10: injeksi, XSS, CSRF, SSRF, deserialisasi tidak aman, dan lainnya.</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OWASP</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SEC-019</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Aplikasi</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Content Security Policy, HSTS, X-Frame-Options, dan header keamanan lain diterapkan pada seluruh respons.</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OWASP</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SEC-020</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Aplikasi</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Rate limiting dan proteksi brute force pada seluruh endpoint autentikasi dan API publik.</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API Security</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SEC-021</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Aplikasi</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Seluruh masukan divalidasi pada sisi server dengan skema; validasi klien bersifat tambahan, bukan pengganti.</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OWASP</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SEC-022</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Data</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Pemindaian malware atas setiap berkas yang diunggah sebelum disimpan.</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BR-046</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SEC-023</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Data</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Data Loss Prevention: pembatasan ekspor massal, deteksi pola unduhan anomali, dan persetujuan untuk ekspor berukuran besar.</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BR-065</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SEC-024</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Data</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Watermark dinamis (identitas + waktu) pada dokumen sensitif yang diunduh atau dicetak.</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BR-065</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SEC-025</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Data</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Klasifikasi kerahasiaan wajib pada setiap dokumen; dokumen defisiensi berklasifikasi minimal Rahasia.</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BR-046</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SEC-026</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Jaringan</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Segmentasi jaringan; layanan basis data tidak dapat dijangkau langsung dari internet.</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Zero Trust</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SEC-027</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Jaringan</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Pembatasan IP dan geo-restriction yang dapat dikonfigurasi per peran.</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BR-063</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SEC-028</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Jaringan</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Web Application Firewall di depan seluruh titik masuk.</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Praktik terbaik</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SEC-029</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Operasi</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Manajemen rahasia terpusat; tidak ada kredensial dalam kode sumber atau berkas konfigurasi.</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DevSecOps</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SEC-030</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Operasi</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Pemindaian kerentanan (SAST, DAST, SCA, container scan) sebagai gerbang wajib pada pipeline CI/CD.</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DevSecOps</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SEC-031</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Operasi</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Konfigurasi sistem operasi, kontainer, dan basis data mengikuti CIS Benchmark.</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CIS</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SEC-032</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Operasi</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Uji penetrasi independen sebelum go-live dan sekurang-kurangnya sekali setahun.</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ISO 27001</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SEC-033</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Sesi</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Session timeout idle yang dapat dikonfigurasi (default 15 menit untuk peran istimewa).</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BR-063</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SEC-034</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Tanda Tangan</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Tanda tangan digital pada atestasi dan laporan OJK menggunakan sertifikat yang sah dan dapat diverifikasi secara independen.</w:t>
            </w:r>
          </w:p>
        </w:tc>
        <w:tc>
          <w:tcPr>
            <w:tcW w:type="dxa" w:w="162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BR-064</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SEC-035</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Ketahanan</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Cadangan terenkripsi, diuji pemulihannya secara berkala, dan disimpan terpisah secara geografis.</w:t>
            </w:r>
          </w:p>
        </w:tc>
        <w:tc>
          <w:tcPr>
            <w:tcW w:type="dxa" w:w="162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ISO 22301</w:t>
            </w:r>
          </w:p>
        </w:tc>
      </w:tr>
    </w:tbl>
    <w:p>
      <w:pPr>
        <w:spacing w:after="180" w:before="60"/>
        <w:jc w:val="left"/>
      </w:pPr>
      <w:r>
        <w:rPr>
          <w:rFonts w:ascii="Calibri" w:cs="Calibri" w:eastAsia="Calibri" w:hAnsi="Calibri"/>
          <w:i/>
          <w:iCs/>
          <w:color w:val="5C6B7E"/>
          <w:sz w:val="17"/>
          <w:szCs w:val="17"/>
        </w:rPr>
        <w:t xml:space="preserve">Tabel 5 — 35 kebutuhan keamanan. Dielaborasi menjadi arsitektur pada DOK-26 dan DOK-27.</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6. KEBUTUHAN AI</w:t>
      </w:r>
    </w:p>
    <w:p>
      <w:pPr>
        <w:spacing w:after="120" w:line="276"/>
        <w:jc w:val="both"/>
      </w:pPr>
      <w:r>
        <w:rPr>
          <w:rFonts w:ascii="Calibri" w:cs="Calibri" w:eastAsia="Calibri" w:hAnsi="Calibri"/>
          <w:color w:val="20293A"/>
          <w:sz w:val="21"/>
          <w:szCs w:val="21"/>
        </w:rPr>
        <w:t xml:space="preserve">AI Assistant adalah pembeda utama platform ini — dan sekaligus sumber risiko yang paling mudah diremehkan. Dua belas kebutuhan berikut menetapkan batas yang tidak boleh dilanggar: AI menyusun draf, manusia memutuskan.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6499"/>
        <w:gridCol w:w="1715"/>
      </w:tblGrid>
      <w:tr>
        <w:trPr>
          <w:tblHeader/>
        </w:trPr>
        <w:tc>
          <w:tcPr>
            <w:tcW w:type="dxa" w:w="81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ID</w:t>
            </w:r>
          </w:p>
        </w:tc>
        <w:tc>
          <w:tcPr>
            <w:tcW w:type="dxa" w:w="649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Kebutuhan</w:t>
            </w:r>
          </w:p>
        </w:tc>
        <w:tc>
          <w:tcPr>
            <w:tcW w:type="dxa" w:w="171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Sumber</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AIR-001</w:t>
            </w:r>
          </w:p>
        </w:tc>
        <w:tc>
          <w:tcPr>
            <w:tcW w:type="dxa" w:w="649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Inferensi model dilakukan di dalam yurisdiksi Indonesia — pada infrastruktur Bank atau penyedia yang menjamin residensi data.</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BR-005, BR-059</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AIR-002</w:t>
            </w:r>
          </w:p>
        </w:tc>
        <w:tc>
          <w:tcPr>
            <w:tcW w:type="dxa" w:w="649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Data nasabah, data keuangan, dan data pengendalian internal tidak boleh dipakai untuk melatih atau menyetel ulang model.</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BR-059</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AIR-003</w:t>
            </w:r>
          </w:p>
        </w:tc>
        <w:tc>
          <w:tcPr>
            <w:tcW w:type="dxa" w:w="649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PII diredaksi sebelum konten dikirim ke model; hasil redaksi dapat diaudit dan diuji.</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BR-059</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AIR-004</w:t>
            </w:r>
          </w:p>
        </w:tc>
        <w:tc>
          <w:tcPr>
            <w:tcW w:type="dxa" w:w="649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Arsitektur Retrieval-Augmented Generation: model menjawab dari basis pengetahuan Bank, bukan dari ingatan parametrik.</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BR-057</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AIR-005</w:t>
            </w:r>
          </w:p>
        </w:tc>
        <w:tc>
          <w:tcPr>
            <w:tcW w:type="dxa" w:w="649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Setiap jawaban AI mencantumkan kutipan sumber yang dapat diklik hingga ke dokumen dan halaman asalnya.</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BR-057</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AIR-006</w:t>
            </w:r>
          </w:p>
        </w:tc>
        <w:tc>
          <w:tcPr>
            <w:tcW w:type="dxa" w:w="649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AI tidak boleh mengubah data secara langsung; seluruh keluaran melewati antrean persetujuan manusia.</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BR-058</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AIR-007</w:t>
            </w:r>
          </w:p>
        </w:tc>
        <w:tc>
          <w:tcPr>
            <w:tcW w:type="dxa" w:w="649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Keluaran AI ditandai "Draf — Belum Divalidasi" dan dikecualikan dari perhitungan skor apa pun.</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BR-058</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AIR-008</w:t>
            </w:r>
          </w:p>
        </w:tc>
        <w:tc>
          <w:tcPr>
            <w:tcW w:type="dxa" w:w="649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Jejak audit AI mencatat: prompt (setelah redaksi), model, versi, waktu, pengguna, keluaran, dan keputusan manusia atasnya.</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BR-002, BR-058</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AIR-009</w:t>
            </w:r>
          </w:p>
        </w:tc>
        <w:tc>
          <w:tcPr>
            <w:tcW w:type="dxa" w:w="649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Proteksi terhadap prompt injection, terutama pada konten yang berasal dari dokumen unggahan pihak ketiga.</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OWASP LLM</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AIR-010</w:t>
            </w:r>
          </w:p>
        </w:tc>
        <w:tc>
          <w:tcPr>
            <w:tcW w:type="dxa" w:w="649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Konsol AI Admin: pengaturan model, prompt sistem, aturan redaksi, kuota penggunaan, dan penonaktifan darurat (kill switch).</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BR-059</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AIR-011</w:t>
            </w:r>
          </w:p>
        </w:tc>
        <w:tc>
          <w:tcPr>
            <w:tcW w:type="dxa" w:w="649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Basis pengetahuan AI mematuhi hak akses pengguna — AI tidak boleh mengungkap konten yang tidak berhak diakses penanya.</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BR-060</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AIR-012</w:t>
            </w:r>
          </w:p>
        </w:tc>
        <w:tc>
          <w:tcPr>
            <w:tcW w:type="dxa" w:w="649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Integrasi Model Context Protocol untuk akses terkendali AI terhadap data platform dengan otorisasi per-permintaan.</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BR-057</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1E5AA8" w:sz="24"/>
              <w:bottom w:val="none" w:color="auto" w:sz="0"/>
              <w:right w:val="none" w:color="auto" w:sz="0"/>
            </w:tcBorders>
            <w:shd w:fill="F2F5FA"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Batas yang Tidak Dapat Dinegosiasikan</w:t>
            </w:r>
          </w:p>
          <w:p>
            <w:pPr>
              <w:spacing w:after="40" w:line="264"/>
              <w:jc w:val="both"/>
            </w:pPr>
            <w:r>
              <w:rPr>
                <w:rFonts w:ascii="Calibri" w:cs="Calibri" w:eastAsia="Calibri" w:hAnsi="Calibri"/>
                <w:color w:val="20293A"/>
                <w:sz w:val="19"/>
                <w:szCs w:val="19"/>
              </w:rPr>
              <w:t xml:space="preserve">AIR-006 dan AIR-007 bersama-sama menetapkan bahwa AI tidak pernah menjadi sumber kebenaran. Keluarannya adalah draf berstatus "Belum Divalidasi", dikecualikan dari perhitungan skor apa pun, dan baru menjadi data resmi setelah manusia berwenang menyetujuinya — dengan identitas penyetuju tercatat permanen.</w:t>
            </w:r>
          </w:p>
          <w:p>
            <w:pPr>
              <w:spacing w:after="40" w:line="264"/>
              <w:jc w:val="both"/>
            </w:pPr>
            <w:r>
              <w:rPr>
                <w:rFonts w:ascii="Calibri" w:cs="Calibri" w:eastAsia="Calibri" w:hAnsi="Calibri"/>
                <w:color w:val="20293A"/>
                <w:sz w:val="19"/>
                <w:szCs w:val="19"/>
              </w:rPr>
              <w:t xml:space="preserve">Alasannya bukan kehati-hatian berlebihan. Atestasi ICOFR adalah pernyataan hukum yang ditandatangani Direktur Utama. Apa pun yang menopangnya harus dapat dipertanggungjawabkan oleh manusia yang namanya tercantum.</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7. KEBUTUHAN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6499"/>
        <w:gridCol w:w="1715"/>
      </w:tblGrid>
      <w:tr>
        <w:trPr>
          <w:tblHeader/>
        </w:trPr>
        <w:tc>
          <w:tcPr>
            <w:tcW w:type="dxa" w:w="81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ID</w:t>
            </w:r>
          </w:p>
        </w:tc>
        <w:tc>
          <w:tcPr>
            <w:tcW w:type="dxa" w:w="649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Kebutuhan Data</w:t>
            </w:r>
          </w:p>
        </w:tc>
        <w:tc>
          <w:tcPr>
            <w:tcW w:type="dxa" w:w="171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Sumber</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DAT-001</w:t>
            </w:r>
          </w:p>
        </w:tc>
        <w:tc>
          <w:tcPr>
            <w:tcW w:type="dxa" w:w="649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Satu control library tunggal menjadi sumber kebenaran bagi ICOFR, ERM, ORM, Kepatuhan, dan Audit Internal.</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BR-001</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DAT-002</w:t>
            </w:r>
          </w:p>
        </w:tc>
        <w:tc>
          <w:tcPr>
            <w:tcW w:type="dxa" w:w="649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Setiap entitas inti (risiko, kontrol, akun, proses, asersi, bukti, temuan) memiliki identitas permanen yang tidak dipakai ulang.</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BR-001</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DAT-003</w:t>
            </w:r>
          </w:p>
        </w:tc>
        <w:tc>
          <w:tcPr>
            <w:tcW w:type="dxa" w:w="649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Entitas versioned (RCM, kebijakan, BPM) menyimpan seluruh versi; penghapusan bersifat logis, bukan fisik.</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BR-002</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DAT-004</w:t>
            </w:r>
          </w:p>
        </w:tc>
        <w:tc>
          <w:tcPr>
            <w:tcW w:type="dxa" w:w="649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Setiap bukti memiliki hash SHA-256 yang diverifikasi ulang saat diakses; ketidaksesuaian memicu alert keamanan.</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BR-046</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DAT-005</w:t>
            </w:r>
          </w:p>
        </w:tc>
        <w:tc>
          <w:tcPr>
            <w:tcW w:type="dxa" w:w="649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Data pengujian per periode dikunci setelah atestasi (BRL-008); dibaca melalui snapshot periode.</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BR-026</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DAT-006</w:t>
            </w:r>
          </w:p>
        </w:tc>
        <w:tc>
          <w:tcPr>
            <w:tcW w:type="dxa" w:w="649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Klasifikasi kerahasiaan wajib pada setiap dokumen dan setiap entitas defisiensi.</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BR-046</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DAT-007</w:t>
            </w:r>
          </w:p>
        </w:tc>
        <w:tc>
          <w:tcPr>
            <w:tcW w:type="dxa" w:w="649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Retensi minimum 10 tahun untuk bukti, kertas kerja, jejak audit, dan atestasi.</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BR-046</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DAT-008</w:t>
            </w:r>
          </w:p>
        </w:tc>
        <w:tc>
          <w:tcPr>
            <w:tcW w:type="dxa" w:w="649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Master data (siklus, unit, akun, asersi, kategori Basel, kategori risiko) dikelola terpusat dengan alur persetujuan.</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BR-001</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DAT-009</w:t>
            </w:r>
          </w:p>
        </w:tc>
        <w:tc>
          <w:tcPr>
            <w:tcW w:type="dxa" w:w="649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Migrasi data awal: akun signifikan, BPM, RCM, ELC, ITGC, dan register risiko dari sumber eksisting, dengan rekonsiliasi jumlah baris dan validasi Process Owner.</w:t>
            </w:r>
          </w:p>
        </w:tc>
        <w:tc>
          <w:tcPr>
            <w:tcW w:type="dxa" w:w="171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BR-001</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DAT-010</w:t>
            </w:r>
          </w:p>
        </w:tc>
        <w:tc>
          <w:tcPr>
            <w:tcW w:type="dxa" w:w="649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Data lineage: setiap angka pada laporan dapat ditelusuri hingga ke transaksi atau kesimpulan pengujian sumbernya.</w:t>
            </w:r>
          </w:p>
        </w:tc>
        <w:tc>
          <w:tcPr>
            <w:tcW w:type="dxa" w:w="171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BR-051</w:t>
            </w:r>
          </w:p>
        </w:tc>
      </w:tr>
    </w:tbl>
    <w:p>
      <w:pPr>
        <w:spacing w:after="140"/>
      </w:pPr>
    </w:p>
    <w:p>
      <w:pPr>
        <w:spacing w:after="120" w:line="276"/>
        <w:jc w:val="both"/>
      </w:pPr>
      <w:r>
        <w:rPr>
          <w:rFonts w:ascii="Calibri" w:cs="Calibri" w:eastAsia="Calibri" w:hAnsi="Calibri"/>
          <w:color w:val="20293A"/>
          <w:sz w:val="21"/>
          <w:szCs w:val="21"/>
        </w:rPr>
        <w:t xml:space="preserve">Kebutuhan data di atas menjadi masukan langsung bagi DOK-05 (Data Dictionary), DOK-06 (ERD), dan DOK-07 (Database Schema). DAT-001 adalah kebutuhan yang paling menentukan bentuk model data: satu control library tunggal berarti tabel pengendalian tidak boleh digandakan per modul, betapapun menggodanya hal itu dari sudut pandang kemudahan pengembangan.</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8. KEBUTUHAN INTEGRASI</w:t>
      </w:r>
    </w:p>
    <w:p>
      <w:pPr>
        <w:spacing w:after="120" w:line="276"/>
        <w:jc w:val="both"/>
      </w:pPr>
      <w:r>
        <w:rPr>
          <w:rFonts w:ascii="Calibri" w:cs="Calibri" w:eastAsia="Calibri" w:hAnsi="Calibri"/>
          <w:color w:val="20293A"/>
          <w:sz w:val="21"/>
          <w:szCs w:val="21"/>
        </w:rPr>
        <w:t xml:space="preserve">Sepuluh titik integrasi berikut ditetapkan. Platform harus tetap berfungsi penuh — dengan unggah manual — bila integrasi berprioritas Should atau Could belum tersedia. Ini adalah keputusan sadar untuk menghindari risiko RB-04 pada DOK-01.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2166"/>
        <w:gridCol w:w="1625"/>
        <w:gridCol w:w="3791"/>
        <w:gridCol w:w="722"/>
      </w:tblGrid>
      <w:tr>
        <w:trPr>
          <w:tblHeader/>
        </w:trPr>
        <w:tc>
          <w:tcPr>
            <w:tcW w:type="dxa" w:w="72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ID</w:t>
            </w:r>
          </w:p>
        </w:tc>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Sistem Eksternal</w:t>
            </w:r>
          </w:p>
        </w:tc>
        <w:tc>
          <w:tcPr>
            <w:tcW w:type="dxa" w:w="162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Protokol</w:t>
            </w:r>
          </w:p>
        </w:tc>
        <w:tc>
          <w:tcPr>
            <w:tcW w:type="dxa" w:w="3791"/>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Data yang Dipertukarkan</w:t>
            </w:r>
          </w:p>
        </w:tc>
        <w:tc>
          <w:tcPr>
            <w:tcW w:type="dxa" w:w="72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Pri.</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INT-001</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Direktori Identitas (Active Directory / LDAP)</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SAML 2.0 / OIDC</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Autentikasi tunggal, sinkronisasi pengguna &amp; unit organisasi.</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INT-002</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Core Banking System</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REST API / ekstraksi terjadwal</w:t>
            </w:r>
          </w:p>
        </w:tc>
        <w:tc>
          <w:tcPr>
            <w:tcW w:type="dxa" w:w="379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Populasi sampel pengujian, data transaksi, parameter produk.</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INT-003</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General Ledger</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REST API / ekstraksi terjadwal</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Saldo akun untuk penetapan materialitas dan penentuan akun signifikan.</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INT-004</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Sistem HR</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REST API</w:t>
            </w:r>
          </w:p>
        </w:tc>
        <w:tc>
          <w:tcPr>
            <w:tcW w:type="dxa" w:w="379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Data pegawai, jabatan, unit, dan atasan untuk RBAC &amp; eskalasi.</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S</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INT-005</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Surel &amp; Kolaborasi</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SMTP / Graph API</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Notifikasi, penagihan CSA, eskalasi.</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INT-006</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SIEM</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Syslog / API</w:t>
            </w:r>
          </w:p>
        </w:tc>
        <w:tc>
          <w:tcPr>
            <w:tcW w:type="dxa" w:w="379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Pengiriman log keamanan dan jejak audit untuk korelasi terpusat.</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INT-007</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Key Vault / HSM</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PKCS#11 / API</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Pengelolaan kunci enkripsi dan sertifikat tanda tangan digital.</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INT-008</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Penyedia Tanda Tangan Digital</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API</w:t>
            </w:r>
          </w:p>
        </w:tc>
        <w:tc>
          <w:tcPr>
            <w:tcW w:type="dxa" w:w="379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Tanda tangan yang sah secara hukum untuk atestasi dan laporan OJK.</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M</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INT-009</w:t>
            </w:r>
          </w:p>
        </w:tc>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Sistem Manajemen Layanan TI (ITSM)</w:t>
            </w:r>
          </w:p>
        </w:tc>
        <w:tc>
          <w:tcPr>
            <w:tcW w:type="dxa" w:w="162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REST API</w:t>
            </w:r>
          </w:p>
        </w:tc>
        <w:tc>
          <w:tcPr>
            <w:tcW w:type="dxa" w:w="379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Penarikan log perubahan (change management) sebagai bukti ITGC.</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C</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INT-010</w:t>
            </w:r>
          </w:p>
        </w:tc>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Sistem Pemantauan Infrastruktur</w:t>
            </w:r>
          </w:p>
        </w:tc>
        <w:tc>
          <w:tcPr>
            <w:tcW w:type="dxa" w:w="162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API</w:t>
            </w:r>
          </w:p>
        </w:tc>
        <w:tc>
          <w:tcPr>
            <w:tcW w:type="dxa" w:w="379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Penarikan log backup, patch, dan job sebagai bukti ITGC.</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C</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9. WORKFLOW, SLA &amp; ESKALASI</w:t>
      </w:r>
    </w:p>
    <w:p>
      <w:pPr>
        <w:spacing w:after="120" w:line="276"/>
        <w:jc w:val="both"/>
      </w:pPr>
      <w:r>
        <w:rPr>
          <w:rFonts w:ascii="Calibri" w:cs="Calibri" w:eastAsia="Calibri" w:hAnsi="Calibri"/>
          <w:color w:val="20293A"/>
          <w:sz w:val="21"/>
          <w:szCs w:val="21"/>
        </w:rPr>
        <w:t xml:space="preserve">Sepuluh alur kerja berikut dijalankan oleh workflow engine yang dapat dikonfigurasi tanpa penggelaran ulang kode (NFR-028). SLA dan aturan eskalasi merupakan konfigurasi, bukan konstanta yang tertanam dalam kode. Rincian dielaborasi pada DOK-21 (Workflow Matrix), DOK-23 (Notification Matrix), dan DOK-24 (SLA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1805"/>
        <w:gridCol w:w="2708"/>
        <w:gridCol w:w="1805"/>
        <w:gridCol w:w="1805"/>
      </w:tblGrid>
      <w:tr>
        <w:trPr>
          <w:tblHeader/>
        </w:trPr>
        <w:tc>
          <w:tcPr>
            <w:tcW w:type="dxa" w:w="90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Kode</w:t>
            </w:r>
          </w:p>
        </w:tc>
        <w:tc>
          <w:tcPr>
            <w:tcW w:type="dxa" w:w="180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Alur Kerja</w:t>
            </w:r>
          </w:p>
        </w:tc>
        <w:tc>
          <w:tcPr>
            <w:tcW w:type="dxa" w:w="270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Tahapan</w:t>
            </w:r>
          </w:p>
        </w:tc>
        <w:tc>
          <w:tcPr>
            <w:tcW w:type="dxa" w:w="180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SLA Indikatif</w:t>
            </w:r>
          </w:p>
        </w:tc>
        <w:tc>
          <w:tcPr>
            <w:tcW w:type="dxa" w:w="180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Aturan Eskalasi</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WF-ICF-01</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Persetujuan RCM</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Penyusun → Reviewer (Lini 2) → Approver (Direktur Bidang)</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5 hari kerja per tahap</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Eskalasi ke atasan approver</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WF-ICF-02</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Siklus CSA</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Distribusi → Pengisian Lini 1 → Evaluasi Lini 2 → Konsolidasi</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10 hari kerja pengisian; 5 hari evaluasi</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Penagihan H-3, H-1; eskalasi H+1</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WF-ICF-03</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Pengujian ToD &amp; ToE</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Penugasan → Pengujian → Reviu Audit Manager → Kesimpulan</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15 hari kerja per siklus</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Eskalasi ke Audit Director</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WF-ICF-04</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Klasifikasi Defisiensi</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Draf otomatis → Klasifikasi SKAI → Validasi UKK → Persetujuan Dir. Keuangan</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5 hari kerja</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Eskalasi ke Komite Audit</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WF-ICF-05</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Remediasi (CAPA)</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Rencana → Persetujuan Lini 2 → Pelaksanaan → Bukti → Pengujian Ulang</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Sesuai tenggat CAPA</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Notifikasi H-14, H-7, H-1; eskalasi H+1 ke Direktur Bidang</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WF-ICF-06</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Atestasi Manajemen</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Process Owner → Direktur Bidang → Dirut &amp; Dir. Keuangan → Dekom</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3 hari kerja per tahap</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Eskalasi ke Sponsor</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WF-POL-01</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Persetujuan Kebijakan ICOFR</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Penyusun → Reviu Kepatuhan → Dewan Komisaris → Direktur Utama</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10 hari kerja per tahap</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Eskalasi ke Sekretaris Perusahaan</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WF-INC-01</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Penanganan Insiden</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Pelaporan → Triase → Investigasi → CAPA → Penutupan</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Kritis: 4 jam; Tinggi: 1 hari; Sedang: 5 hari</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Eskalasi otomatis per tingkat keparahan</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WF-CMP-01</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Asesmen Kepatuhan</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Penugasan → Asesmen → Gap Analysis → Action Plan</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10 hari kerja</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Eskalasi ke Direktur Kepatuhan</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WF-IAD-01</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Penugasan Audit</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Perencanaan → Fieldwork → Reviu → Temuan → Tanggapan → Follow-up</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Sesuai audit plan</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Eskalasi ke Chief Audit Executive</w:t>
            </w:r>
          </w:p>
        </w:tc>
      </w:tr>
    </w:tbl>
    <w:p>
      <w:pPr>
        <w:spacing w:after="180" w:before="60"/>
        <w:jc w:val="left"/>
      </w:pPr>
      <w:r>
        <w:rPr>
          <w:rFonts w:ascii="Calibri" w:cs="Calibri" w:eastAsia="Calibri" w:hAnsi="Calibri"/>
          <w:i/>
          <w:iCs/>
          <w:color w:val="5C6B7E"/>
          <w:sz w:val="17"/>
          <w:szCs w:val="17"/>
        </w:rPr>
        <w:t xml:space="preserve">Tabel 9 — Sepuluh alur kerja utama beserta SLA dan aturan eskalasinya.</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10. MATRIKS KETERTELUSURAN</w:t>
      </w:r>
    </w:p>
    <w:p>
      <w:pPr>
        <w:spacing w:after="120" w:line="276"/>
        <w:jc w:val="both"/>
      </w:pPr>
      <w:r>
        <w:rPr>
          <w:rFonts w:ascii="Calibri" w:cs="Calibri" w:eastAsia="Calibri" w:hAnsi="Calibri"/>
          <w:color w:val="20293A"/>
          <w:sz w:val="21"/>
          <w:szCs w:val="21"/>
        </w:rPr>
        <w:t xml:space="preserve">Rantai ketertelusuran wajib (DOK-00 §5.4) adalah: Regulasi → BR → FR → UC → TC → Bukti Uji. Tabel berikut memverifikasi bahwa seluruh 65 kebutuhan bisnis telah memiliki FR turunan. Kolom "Cakupan" menyatakan apakah kebutuhan bisnis tersebut sepenuhnya terpenuhi oleh FR yang ada.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4964"/>
        <w:gridCol w:w="1354"/>
      </w:tblGrid>
      <w:tr>
        <w:trPr>
          <w:tblHeader/>
        </w:trPr>
        <w:tc>
          <w:tcPr>
            <w:tcW w:type="dxa" w:w="270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Kelompok Kebutuhan Bisnis</w:t>
            </w:r>
          </w:p>
        </w:tc>
        <w:tc>
          <w:tcPr>
            <w:tcW w:type="dxa" w:w="49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FR yang Menurunkannya</w:t>
            </w:r>
          </w:p>
        </w:tc>
        <w:tc>
          <w:tcPr>
            <w:tcW w:type="dxa" w:w="135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Cakupan</w:t>
            </w:r>
          </w:p>
        </w:tc>
      </w:tr>
      <w:tr>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BR-001 s.d. BR-005 — Platform &amp; prinsip</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FR-ADM-002/003/007/008, FR-ORM-003, FR-AIA-009, FR-DSH-008, seluruh modul</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BR-006 s.d. BR-009 — Governance</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FR-GOV-001 s.d. FR-GOV-008</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BR-010 s.d. BR-026 — ICOFR</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FR-ICF-001 s.d. FR-ICF-045</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BR-027 s.d. BR-032 — ERM &amp; ORM</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FR-ERM-001 s.d. FR-ERM-010, FR-ORM-001 s.d. FR-ORM-005</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BR-033 s.d. BR-037 — KRI, LED, Insiden</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FR-KRI-001 s.d. FR-KRI-005, FR-LED-001 s.d. FR-LED-004, FR-INC-001 s.d. FR-INC-005</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BR-038 s.d. BR-042 — Kepatuhan &amp; Kebijakan</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FR-CMP-001 s.d. FR-CMP-006, FR-POL-001 s.d. FR-POL-007</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BR-043 s.d. BR-045 — ITGC &amp; IT Asset</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FR-ITG-001 s.d. FR-ITG-006, FR-ITA-001 s.d. FR-ITA-004</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BR-046, BR-047, BR-065 — Dokumen</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FR-DMS-001 s.d. FR-DMS-006</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BR-048 s.d. BR-050 — Internal Audit</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FR-IAD-001 s.d. FR-IAD-008</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BR-051 s.d. BR-054 — Pelaporan</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FR-RPT-001 s.d. FR-RPT-008, FR-DSH-001 s.d. FR-DSH-007</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BR-055 s.d. BR-059 — AI</w:t>
            </w:r>
          </w:p>
        </w:tc>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FR-AIA-001 s.d. FR-AIA-010, AIR-001 s.d. AIR-012</w:t>
            </w:r>
          </w:p>
        </w:tc>
        <w:tc>
          <w:tcPr>
            <w:tcW w:type="dxa" w:w="135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r>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BR-060 s.d. BR-064 — Keamanan</w:t>
            </w:r>
          </w:p>
        </w:tc>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FR-ADM-001 s.d. FR-ADM-010, SEC-001 s.d. SEC-035</w:t>
            </w:r>
          </w:p>
        </w:tc>
        <w:tc>
          <w:tcPr>
            <w:tcW w:type="dxa" w:w="135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1E8E63"/>
                <w:sz w:val="16"/>
                <w:szCs w:val="16"/>
              </w:rPr>
              <w:t xml:space="preserve">Penuh</w:t>
            </w:r>
          </w:p>
        </w:tc>
      </w:tr>
    </w:tbl>
    <w:p>
      <w:pPr>
        <w:spacing w:after="140"/>
      </w:pPr>
    </w:p>
    <w:p>
      <w:pPr>
        <w:pStyle w:val="Heading2"/>
        <w:spacing w:after="120" w:before="260"/>
      </w:pPr>
      <w:r>
        <w:rPr>
          <w:rFonts w:ascii="Cambria" w:cs="Cambria" w:eastAsia="Cambria" w:hAnsi="Cambria"/>
          <w:b/>
          <w:bCs/>
          <w:color w:val="1B4A8A"/>
          <w:sz w:val="24"/>
          <w:szCs w:val="24"/>
        </w:rPr>
        <w:t xml:space="preserve">Verifikasi Ketertelusuran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64"/>
        <w:gridCol w:w="4062"/>
      </w:tblGrid>
      <w:tr>
        <w:trPr>
          <w:tblHeader/>
        </w:trPr>
        <w:tc>
          <w:tcPr>
            <w:tcW w:type="dxa" w:w="49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Pemeriksaan</w:t>
            </w:r>
          </w:p>
        </w:tc>
        <w:tc>
          <w:tcPr>
            <w:tcW w:type="dxa" w:w="406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Hasil</w:t>
            </w:r>
          </w:p>
        </w:tc>
      </w:tr>
      <w:tr>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Kebutuhan bisnis tanpa FR turunan (BR yatim)</w:t>
            </w:r>
          </w:p>
        </w:tc>
        <w:tc>
          <w:tcPr>
            <w:tcW w:type="dxa" w:w="406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1E8E63"/>
                <w:sz w:val="18"/>
                <w:szCs w:val="18"/>
              </w:rPr>
              <w:t xml:space="preserve">Nihil — seluruh 65 BR memiliki minimal satu FR</w:t>
            </w:r>
          </w:p>
        </w:tc>
      </w:tr>
      <w:tr>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Kebutuhan fungsional tanpa BR induk (FR yatim)</w:t>
            </w:r>
          </w:p>
        </w:tc>
        <w:tc>
          <w:tcPr>
            <w:tcW w:type="dxa" w:w="406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1E8E63"/>
                <w:sz w:val="18"/>
                <w:szCs w:val="18"/>
              </w:rPr>
              <w:t xml:space="preserve">Nihil — seluruh 155 FR tertaut ke BR</w:t>
            </w:r>
          </w:p>
        </w:tc>
      </w:tr>
      <w:tr>
        <w:tc>
          <w:tcPr>
            <w:tcW w:type="dxa" w:w="49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Aturan bisnis (BRL) yang ditegakkan sistem</w:t>
            </w:r>
          </w:p>
        </w:tc>
        <w:tc>
          <w:tcPr>
            <w:tcW w:type="dxa" w:w="406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1E8E63"/>
                <w:sz w:val="18"/>
                <w:szCs w:val="18"/>
              </w:rPr>
              <w:t xml:space="preserve">12 dari 12 — masing-masing memiliki FR penegak</w:t>
            </w:r>
          </w:p>
        </w:tc>
      </w:tr>
      <w:tr>
        <w:tc>
          <w:tcPr>
            <w:tcW w:type="dxa" w:w="49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Pasal POJK 15/2024 yang terpetakan</w:t>
            </w:r>
          </w:p>
        </w:tc>
        <w:tc>
          <w:tcPr>
            <w:tcW w:type="dxa" w:w="406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1E8E63"/>
                <w:sz w:val="18"/>
                <w:szCs w:val="18"/>
              </w:rPr>
              <w:t xml:space="preserve">5 dari 5 pasal kunci (Ps. 2, 3, 4, 5, 8)</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11. KRITERIA PENERIMAAN TEKNIS</w:t>
      </w:r>
    </w:p>
    <w:p>
      <w:pPr>
        <w:spacing w:after="120" w:line="276"/>
        <w:jc w:val="both"/>
      </w:pPr>
      <w:r>
        <w:rPr>
          <w:rFonts w:ascii="Calibri" w:cs="Calibri" w:eastAsia="Calibri" w:hAnsi="Calibri"/>
          <w:color w:val="20293A"/>
          <w:sz w:val="21"/>
          <w:szCs w:val="21"/>
        </w:rPr>
        <w:t xml:space="preserve">Kriteria berikut melengkapi kriteria penerimaan bisnis pada DOK-01 §12. Seluruhnya wajib terpenuhi sebelum go-live.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8123"/>
      </w:tblGrid>
      <w:tr>
        <w:trPr>
          <w:tblHeader/>
        </w:trPr>
        <w:tc>
          <w:tcPr>
            <w:tcW w:type="dxa" w:w="90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ID</w:t>
            </w:r>
          </w:p>
        </w:tc>
        <w:tc>
          <w:tcPr>
            <w:tcW w:type="dxa" w:w="812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Kriteria Penerimaan Teknis</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TAC-01</w:t>
            </w:r>
          </w:p>
        </w:tc>
        <w:tc>
          <w:tcPr>
            <w:tcW w:type="dxa" w:w="812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Seluruh FR berprioritas Must (dari 155 FR) terimplementasi dan lulus pengujian fungsional otomatis.</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TAC-02</w:t>
            </w:r>
          </w:p>
        </w:tc>
        <w:tc>
          <w:tcPr>
            <w:tcW w:type="dxa" w:w="812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Seluruh 32 NFR memenuhi target terukurnya, dibuktikan melalui uji beban dan uji kinerja pada lingkungan setara produksi.</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TAC-03</w:t>
            </w:r>
          </w:p>
        </w:tc>
        <w:tc>
          <w:tcPr>
            <w:tcW w:type="dxa" w:w="812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Uji keamanan OWASP ASVS Level 2 lulus tanpa temuan Tinggi atau Kritis; modul atestasi &amp; pelaporan OJK lulus Level 3.</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TAC-04</w:t>
            </w:r>
          </w:p>
        </w:tc>
        <w:tc>
          <w:tcPr>
            <w:tcW w:type="dxa" w:w="812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Uji penetrasi independen tidak menemukan celah yang memungkinkan perubahan atau penghapusan jejak audit (SEC-014).</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TAC-05</w:t>
            </w:r>
          </w:p>
        </w:tc>
        <w:tc>
          <w:tcPr>
            <w:tcW w:type="dxa" w:w="812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Uji pemisahan tugas: seluruh 12 aturan bisnis (BRL) diuji dengan skenario pelanggaran; sistem menolak seluruhnya.</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TAC-06</w:t>
            </w:r>
          </w:p>
        </w:tc>
        <w:tc>
          <w:tcPr>
            <w:tcW w:type="dxa" w:w="812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Uji pemulihan bencana: RTO ≤ 4 jam dan RPO ≤ 15 menit tercapai pada simulasi kegagalan pusat data.</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TAC-07</w:t>
            </w:r>
          </w:p>
        </w:tc>
        <w:tc>
          <w:tcPr>
            <w:tcW w:type="dxa" w:w="812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Uji integritas hash-chain jejak audit: verifikasi menyeluruh atas seluruh entri tidak menemukan celah.</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TAC-08</w:t>
            </w:r>
          </w:p>
        </w:tc>
        <w:tc>
          <w:tcPr>
            <w:tcW w:type="dxa" w:w="812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Uji aksesibilitas WCAG 2.1 AA lulus pada seluruh alur utama, mode terang dan gelap.</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TAC-09</w:t>
            </w:r>
          </w:p>
        </w:tc>
        <w:tc>
          <w:tcPr>
            <w:tcW w:type="dxa" w:w="812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Uji AI: prompt injection, kebocoran data lintas hak akses (AIR-011), dan efektivitas redaksi PII (AIR-003) lulus seluruhnya.</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TAC-10</w:t>
            </w:r>
          </w:p>
        </w:tc>
        <w:tc>
          <w:tcPr>
            <w:tcW w:type="dxa" w:w="812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Cakupan pengujian otomatis atas logika bisnis inti ≥ 80% (NFR-027).</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LEMBAR PERSETUJUAN</w:t>
      </w:r>
    </w:p>
    <w:p>
      <w:pPr>
        <w:spacing w:after="120" w:line="276"/>
        <w:jc w:val="both"/>
      </w:pPr>
      <w:r>
        <w:rPr>
          <w:rFonts w:ascii="Calibri" w:cs="Calibri" w:eastAsia="Calibri" w:hAnsi="Calibri"/>
          <w:color w:val="20293A"/>
          <w:sz w:val="21"/>
          <w:szCs w:val="21"/>
        </w:rPr>
        <w:t xml:space="preserve">Dengan menandatangani lembar ini, para pihak menyatakan bahwa 155 kebutuhan fungsional, 32 kebutuhan non-fungsional, 35 kebutuhan keamanan, 12 kebutuhan AI, 10 kebutuhan data, 10 kebutuhan integrasi, dan 10 alur kerja sebagaimana diuraikan dalam dokumen ini merupakan spesifikasi yang lengkap dan mengikat, serta menjadi dasar penyusunan DOK-03 (FRS), DOK-04 (TRS), dan seluruh dokumen hilir.</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9"/>
        <w:gridCol w:w="2708"/>
        <w:gridCol w:w="3249"/>
      </w:tblGrid>
      <w:tr>
        <w:trPr>
          <w:tblHeader/>
        </w:trPr>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Peran</w:t>
            </w:r>
          </w:p>
        </w:tc>
        <w:tc>
          <w:tcPr>
            <w:tcW w:type="dxa" w:w="270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Nama</w:t>
            </w:r>
          </w:p>
        </w:tc>
        <w:tc>
          <w:tcPr>
            <w:tcW w:type="dxa" w:w="324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Tanda Tangan &amp; Tanggal</w:t>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Disusun oleh</w:t>
            </w:r>
          </w:p>
          <w:p>
            <w:pPr>
              <w:spacing w:after="40" w:before="20" w:line="252"/>
              <w:jc w:val="left"/>
            </w:pPr>
            <w:r>
              <w:rPr>
                <w:rFonts w:ascii="Calibri" w:cs="Calibri" w:eastAsia="Calibri" w:hAnsi="Calibri"/>
                <w:color w:val="20293A"/>
                <w:sz w:val="18"/>
                <w:szCs w:val="18"/>
              </w:rPr>
              <w:t xml:space="preserve">Konsultan — Seraya Institute</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Product Owner / Ketua UKK ICOFR</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Kepala Divisi Teknologi Informasi</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Chief Information Security Officer</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Manajemen Risiko &amp; Kepatuhan</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Disetujui oleh</w:t>
            </w:r>
          </w:p>
          <w:p>
            <w:pPr>
              <w:spacing w:after="40" w:before="20" w:line="252"/>
              <w:jc w:val="left"/>
            </w:pPr>
            <w:r>
              <w:rPr>
                <w:rFonts w:ascii="Calibri" w:cs="Calibri" w:eastAsia="Calibri" w:hAnsi="Calibri"/>
                <w:color w:val="20293A"/>
                <w:sz w:val="18"/>
                <w:szCs w:val="18"/>
              </w:rPr>
              <w:t xml:space="preserve">Sponsor Program (Direksi)</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bl>
    <w:p>
      <w:pPr>
        <w:spacing w:after="200"/>
      </w:pPr>
    </w:p>
    <w:p>
      <w:pPr>
        <w:spacing w:after="120" w:line="276"/>
        <w:jc w:val="center"/>
      </w:pPr>
      <w:r>
        <w:rPr>
          <w:rFonts w:ascii="Calibri" w:cs="Calibri" w:eastAsia="Calibri" w:hAnsi="Calibri"/>
          <w:i/>
          <w:iCs/>
          <w:color w:val="5C6B7E"/>
          <w:sz w:val="21"/>
          <w:szCs w:val="21"/>
        </w:rPr>
        <w:t xml:space="preserve">— Akhir Dokumen DOK-02 —</w:t>
      </w:r>
    </w:p>
    <w:sectPr>
      <w:headerReference w:type="default" r:id="rId7"/>
      <w:footerReference w:type="default" r:id="rId8"/>
      <w:pgSz w:w="11906" w:h="16838" w:orient="portrait"/>
      <w:pgMar w:top="1440" w:right="1440" w:bottom="1440" w:left="1440" w:header="7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CEA" w:sz="6" w:space="4"/>
      </w:pBdr>
      <w:tabs>
        <w:tab w:val="right" w:pos="9026"/>
      </w:tabs>
      <w:spacing w:before="40"/>
    </w:pPr>
    <w:r>
      <w:rPr>
        <w:rFonts w:ascii="Calibri" w:cs="Calibri" w:eastAsia="Calibri" w:hAnsi="Calibri"/>
        <w:color w:val="5C6B7E"/>
        <w:sz w:val="15"/>
        <w:szCs w:val="15"/>
      </w:rPr>
      <w:t xml:space="preserve">DOK-02 · Software Requirement Specification · v1.0 · Seraya Institute</w:t>
    </w:r>
    <w:r>
      <w:tab/>
    </w:r>
    <w:r>
      <w:rPr>
        <w:rFonts w:ascii="Calibri" w:cs="Calibri" w:eastAsia="Calibri" w:hAnsi="Calibri"/>
        <w:color w:val="5C6B7E"/>
        <w:sz w:val="15"/>
        <w:szCs w:val="15"/>
      </w:rPr>
      <w:t xml:space="preserve">Hal. </w:t>
    </w:r>
    <w:r>
      <w:rPr>
        <w:rFonts w:ascii="Calibri" w:cs="Calibri" w:eastAsia="Calibri" w:hAnsi="Calibri"/>
        <w:b/>
        <w:bCs/>
        <w:color w:val="13366B"/>
        <w:sz w:val="15"/>
        <w:szCs w:val="15"/>
      </w:rPr>
      <w:fldChar w:fldCharType="begin"/>
      <w:instrText xml:space="preserve">PAGE</w:instrText>
      <w:fldChar w:fldCharType="separate"/>
      <w:fldChar w:fldCharType="end"/>
    </w:r>
    <w:r>
      <w:rPr>
        <w:rFonts w:ascii="Calibri" w:cs="Calibri" w:eastAsia="Calibri" w:hAnsi="Calibri"/>
        <w:color w:val="5C6B7E"/>
        <w:sz w:val="15"/>
        <w:szCs w:val="15"/>
      </w:rPr>
      <w:t xml:space="preserve"> / </w:t>
    </w:r>
    <w:r>
      <w:rPr>
        <w:rFonts w:ascii="Calibri" w:cs="Calibri" w:eastAsia="Calibri" w:hAnsi="Calibri"/>
        <w:color w:val="5C6B7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CEA" w:sz="6" w:space="4"/>
      </w:pBdr>
      <w:tabs>
        <w:tab w:val="right" w:pos="9026"/>
      </w:tabs>
      <w:spacing w:after="40"/>
    </w:pPr>
    <w:r>
      <w:rPr>
        <w:rFonts w:ascii="Calibri" w:cs="Calibri" w:eastAsia="Calibri" w:hAnsi="Calibri"/>
        <w:b/>
        <w:bCs/>
        <w:color w:val="13366B"/>
        <w:spacing w:val="20"/>
        <w:sz w:val="16"/>
        <w:szCs w:val="16"/>
      </w:rPr>
      <w:t xml:space="preserve">ICOP GRC PLATFORM</w:t>
    </w:r>
    <w:r>
      <w:tab/>
    </w:r>
    <w:r>
      <w:rPr>
        <w:rFonts w:ascii="Calibri" w:cs="Calibri" w:eastAsia="Calibri" w:hAnsi="Calibri"/>
        <w:color w:val="9C6C11"/>
        <w:sz w:val="16"/>
        <w:szCs w:val="16"/>
      </w:rPr>
      <w:t xml:space="preserve">RAHASIA &amp; TERBATAS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0891F"/>
        <w:sz w:val="21"/>
        <w:szCs w:val="21"/>
      </w:rPr>
    </w:lvl>
    <w:lvl w:ilvl="1" w15:tentative="1">
      <w:start w:val="1"/>
      <w:numFmt w:val="bullet"/>
      <w:lvlText w:val="–"/>
      <w:lvlJc w:val="left"/>
      <w:pPr>
        <w:ind w:left="720" w:hanging="220"/>
      </w:pPr>
      <w:rPr>
        <w:color w:val="5C6B7E"/>
        <w:sz w:val="21"/>
        <w:szCs w:val="21"/>
      </w:rPr>
    </w:lvl>
  </w:abstractNum>
  <w:abstractNum w:abstractNumId="3" w15:restartNumberingAfterBreak="0">
    <w:multiLevelType w:val="hybridMultilevel"/>
    <w:lvl w:ilvl="0" w15:tentative="1">
      <w:start w:val="1"/>
      <w:numFmt w:val="decimal"/>
      <w:lvlText w:val="%1."/>
      <w:lvlJc w:val="left"/>
      <w:pPr>
        <w:ind w:left="400" w:hanging="260"/>
      </w:pPr>
      <w:rPr>
        <w:b/>
        <w:bCs/>
        <w:color w:val="13366B"/>
        <w:sz w:val="21"/>
        <w:szCs w:val="21"/>
      </w:rPr>
    </w:lvl>
    <w:lvl w:ilvl="1" w15:tentative="1">
      <w:start w:val="1"/>
      <w:numFmt w:val="lowerLetter"/>
      <w:lvlText w:val="%2."/>
      <w:lvlJc w:val="left"/>
      <w:pPr>
        <w:ind w:left="760" w:hanging="260"/>
      </w:pPr>
      <w:rPr>
        <w:color w:val="1B4A8A"/>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9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3366B"/>
      <w:sz w:val="30"/>
      <w:szCs w:val="30"/>
    </w:rPr>
  </w:style>
  <w:style w:type="paragraph" w:styleId="Heading2">
    <w:name w:val="Heading 2"/>
    <w:basedOn w:val="Normal"/>
    <w:next w:val="Normal"/>
    <w:qFormat/>
    <w:rPr>
      <w:rFonts w:ascii="Cambria" w:cs="Cambria" w:eastAsia="Cambria" w:hAnsi="Cambria"/>
      <w:b/>
      <w:bCs/>
      <w:color w:val="1B4A8A"/>
      <w:sz w:val="24"/>
      <w:szCs w:val="24"/>
    </w:rPr>
  </w:style>
  <w:style w:type="paragraph" w:styleId="Heading3">
    <w:name w:val="Heading 3"/>
    <w:basedOn w:val="Normal"/>
    <w:next w:val="Normal"/>
    <w:qFormat/>
    <w:rPr>
      <w:rFonts w:ascii="Calibri" w:cs="Calibri" w:eastAsia="Calibri" w:hAnsi="Calibri"/>
      <w:b/>
      <w:bCs/>
      <w:color w:val="1E5A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DOK-02 · Software Requirement Specification · v1.0 · Seraya Institute</dc:title>
  <dc:creator>Seraya Institute</dc:creator>
  <cp:lastModifiedBy>Un-named</cp:lastModifiedBy>
  <cp:revision>1</cp:revision>
  <dcterms:created xsi:type="dcterms:W3CDTF">2026-07-12T00:21:56.110Z</dcterms:created>
  <dcterms:modified xsi:type="dcterms:W3CDTF">2026-07-12T00:21:56.110Z</dcterms:modified>
</cp:coreProperties>
</file>

<file path=docProps/custom.xml><?xml version="1.0" encoding="utf-8"?>
<Properties xmlns="http://schemas.openxmlformats.org/officeDocument/2006/custom-properties" xmlns:vt="http://schemas.openxmlformats.org/officeDocument/2006/docPropsVTypes"/>
</file>