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Calibri" w:cs="Calibri" w:eastAsia="Calibri" w:hAnsi="Calibri"/>
          <w:b/>
          <w:bCs/>
          <w:color w:val="9C6C11"/>
          <w:spacing w:val="40"/>
          <w:sz w:val="20"/>
          <w:szCs w:val="20"/>
        </w:rPr>
        <w:t xml:space="preserve">SERAYA INSTITUTE</w:t>
      </w:r>
    </w:p>
    <w:p>
      <w:pPr>
        <w:pBdr>
          <w:bottom w:val="single" w:color="C0891F" w:sz="12" w:space="8"/>
        </w:pBdr>
        <w:spacing w:after="700"/>
      </w:pPr>
      <w:r>
        <w:rPr>
          <w:rFonts w:ascii="Cambria" w:cs="Cambria" w:eastAsia="Cambria" w:hAnsi="Cambria"/>
          <w:i/>
          <w:iCs/>
          <w:color w:val="5C6B7E"/>
          <w:sz w:val="19"/>
          <w:szCs w:val="19"/>
        </w:rPr>
        <w:t xml:space="preserve">Developing Human For Better Futures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9C6C11"/>
          <w:spacing w:val="30"/>
          <w:sz w:val="20"/>
          <w:szCs w:val="20"/>
        </w:rPr>
        <w:t xml:space="preserve">DOK-03</w:t>
      </w:r>
    </w:p>
    <w:p>
      <w:pPr>
        <w:spacing w:after="100"/>
        <w:jc w:val="left"/>
      </w:pPr>
      <w:r>
        <w:rPr>
          <w:rFonts w:ascii="Cambria" w:cs="Cambria" w:eastAsia="Cambria" w:hAnsi="Cambria"/>
          <w:b/>
          <w:bCs/>
          <w:color w:val="13366B"/>
          <w:sz w:val="44"/>
          <w:szCs w:val="44"/>
        </w:rPr>
        <w:t xml:space="preserve">FUNCTIONAL REQUIREMENT</w:t>
      </w:r>
    </w:p>
    <w:p>
      <w:pPr>
        <w:spacing w:after="500"/>
      </w:pPr>
      <w:r>
        <w:rPr>
          <w:rFonts w:ascii="Cambria" w:cs="Cambria" w:eastAsia="Cambria" w:hAnsi="Cambria"/>
          <w:color w:val="5C6B7E"/>
          <w:sz w:val="24"/>
          <w:szCs w:val="24"/>
        </w:rPr>
        <w:t xml:space="preserve">Specification (FRS) — Perilaku Fungsional Terperinci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E5AA8"/>
          <w:sz w:val="32"/>
          <w:szCs w:val="32"/>
        </w:rPr>
        <w:t xml:space="preserve">ICOP GRC PLATFORM</w:t>
      </w:r>
    </w:p>
    <w:p>
      <w:pPr>
        <w:spacing w:after="900"/>
      </w:pPr>
      <w:r>
        <w:rPr>
          <w:rFonts w:ascii="Calibri" w:cs="Calibri" w:eastAsia="Calibri" w:hAnsi="Calibri"/>
          <w:i/>
          <w:iCs/>
          <w:color w:val="5C6B7E"/>
          <w:sz w:val="19"/>
          <w:szCs w:val="19"/>
        </w:rPr>
        <w:t xml:space="preserve">Integrated Governance, Risk, Audit &amp; Compliance Platform  ·  Modul Utama: ICOFR Management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DOK-03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12 Juli 2026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Disusun oleh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 — Tim Arsitektur &amp; Solusi GRC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 — Internal Use Only</w:t>
            </w:r>
          </w:p>
        </w:tc>
      </w:tr>
    </w:tbl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5C6B7E"/>
          <w:sz w:val="16"/>
          <w:szCs w:val="16"/>
        </w:rPr>
        <w:t xml:space="preserve">Dokumen ini bersifat rahasia. Dilarang menggandakan, mendistribusikan, atau mengungkapkan isinya kepada pihak ketiga tanpa persetujuan tertulis.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DAFTAR ISI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KENDALI DOKUMEN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3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1. PENDAHULUAN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4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1.1 Hubungan SRS → FRS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4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1.2 Konvensi Penomoran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4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2. AKTOR SISTEM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5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3. KATALOG USE CASE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6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4. SPESIFIKASI USE CASE RINCI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8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4.1 UC-ICF-008 — Mengisi CSA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8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4.2 UC-ICF-011 — Test of Operating Effectiveness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9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4.3 UC-ICF-012 — Mengklasifikasi Defisiensi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10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4.4 UC-ICF-015 — Menandatangani Atestasi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11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4.5 UC-POL-001 — Menyetujui Kebijakan ICOFR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12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4.6 UC-AIA-001 — Menyusun Draf RCM dengan AI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13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5. ATURAN PERHITUNGAN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15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5.1 Daftar Aturan Perhitungan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15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5.2 Tabel Sampling ToE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16</w:t>
      </w:r>
    </w:p>
    <w:p>
      <w:pPr>
        <w:tabs>
          <w:tab w:val="right" w:pos="9026" w:leader="dot"/>
        </w:tabs>
        <w:spacing w:after="30" w:line="264"/>
        <w:ind w:left="340"/>
      </w:pPr>
      <w:r>
        <w:rPr>
          <w:rFonts w:ascii="Calibri" w:cs="Calibri" w:eastAsia="Calibri" w:hAnsi="Calibri"/>
          <w:b w:val="false"/>
          <w:bCs w:val="false"/>
          <w:color w:val="20293A"/>
          <w:sz w:val="19"/>
          <w:szCs w:val="19"/>
        </w:rPr>
        <w:t xml:space="preserve">5.3 Matriks Klasifikasi Defisiensi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color w:val="5C6B7E"/>
          <w:sz w:val="19"/>
          <w:szCs w:val="19"/>
        </w:rPr>
        <w:t xml:space="preserve">16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6. MESIN STATUS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18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7. ATURAN VALIDASI &amp; PESAN KESALAHAN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21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8. KASUS TEPI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23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9. MATRIKS KETERTELUSURAN FR → UC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24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LEMBAR PERSETUJUAN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25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KENDALI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7"/>
        <w:gridCol w:w="6679"/>
      </w:tblGrid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Functional Requirement Specification (FRS)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DOK-03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Batch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B2 — Spesifikasi Rinci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Bergantung Pada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DOK-01 (BRD) · DOK-02 (SRS) — keduanya Baseline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Menjadi Dasar Bagi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DOK-08 (BPMN) · DOK-09–14 (UML) · DOK-17 (UI/UX) · DOK-21 (Workflow) · DOK-34 (Test Plan)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 Terbit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12 Juli 2026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Penyusun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Riwayat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1444"/>
        <w:gridCol w:w="5235"/>
        <w:gridCol w:w="1444"/>
      </w:tblGrid>
      <w:tr>
        <w:trPr>
          <w:tblHeader/>
        </w:trP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 Perubahan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Penyusun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0.1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12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Draf awal — katalog use case &amp; kerangka mesin status.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1.0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12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Baseline — 8 aktor, 35 use case, 6 use case rinci, 10 aturan perhitungan, 5 mesin status, 23 aturan validasi, 8 kasus tepi.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1. PENDAHULUAN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1.1 Hubungan SRS → FRS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DOK-02 menetapkan apa yang harus dilakukan sistem. Dokumen ini menetapkan bagaimana sistem berperilaku ketika melakukannya — urutan langkah, penjaga transisi, rumus perhitungan, aturan validasi, pesan kesalahan, dan apa yang terjadi ketika keadaan tidak berjalan normal.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Perbedaan itu penting karena di sinilah kepatuhan benar-benar ditegakkan atau bocor. Kebutuhan "sistem mendukung klasifikasi defisiensi" (FR-ICF-034) tidak berarti apa-apa sampai ditetapkan bahwa Material Weakness yang dikunci indikator tidak dapat diturunkan oleh siapa pun — termasuk oleh Direktur Keuangan yang menyetujuinya. Aturan seperti itu tidak berada di SRS; ia berada di sini.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C0891F" w:sz="24"/>
              <w:bottom w:val="none" w:color="auto" w:sz="0"/>
              <w:right w:val="none" w:color="auto" w:sz="0"/>
            </w:tcBorders>
            <w:shd w:fill="F6ECD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Prinsip Perancangan Fungsional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Setiap aturan bisnis (BRL) diterjemahkan menjadi penolakan sistem yang konkret, bukan peringatan yang dapat diabaikan. Pengguna tidak diminta berdisiplin — sistem yang tidak mengizinkan pelanggaran. Bab 7 memuat pesan kesalahan yang sesungguhnya, dalam Bahasa Indonesia, lengkap dengan rujukan aturan yang dilanggar, agar pengguna memahami mengapa dan bukan sekadar bahwa mereka ditolak.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1.2 Konvensi Penomoran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3610"/>
        <w:gridCol w:w="3250"/>
      </w:tblGrid>
      <w:tr>
        <w:trPr>
          <w:tblHeader/>
        </w:trP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Prefiks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Objek</w:t>
            </w:r>
          </w:p>
        </w:tc>
        <w:tc>
          <w:tcPr>
            <w:tcW w:type="dxa" w:w="325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Contoh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7"/>
                <w:szCs w:val="17"/>
              </w:rPr>
              <w:t xml:space="preserve">UC-&lt;MOD&gt;-NNN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Use case</w:t>
            </w:r>
          </w:p>
        </w:tc>
        <w:tc>
          <w:tcPr>
            <w:tcW w:type="dxa" w:w="325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UC-ICF-011 — Test of Operating Effectiveness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7"/>
                <w:szCs w:val="17"/>
              </w:rPr>
              <w:t xml:space="preserve">CALC-NN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Aturan perhitungan</w:t>
            </w:r>
          </w:p>
        </w:tc>
        <w:tc>
          <w:tcPr>
            <w:tcW w:type="dxa" w:w="325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CALC-04 — Klasifikasi Defisiensi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7"/>
                <w:szCs w:val="17"/>
              </w:rPr>
              <w:t xml:space="preserve">VAL-&lt;OBJ&gt;-NN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Aturan validasi &amp; pesan kesalahan</w:t>
            </w:r>
          </w:p>
        </w:tc>
        <w:tc>
          <w:tcPr>
            <w:tcW w:type="dxa" w:w="325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VAL-TOE-01 — Efektif tanpa bukti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7"/>
                <w:szCs w:val="17"/>
              </w:rPr>
              <w:t xml:space="preserve">EDG-NN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Kasus tepi</w:t>
            </w:r>
          </w:p>
        </w:tc>
        <w:tc>
          <w:tcPr>
            <w:tcW w:type="dxa" w:w="325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EDG-08 — Agregasi defisiensi kecil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7"/>
                <w:szCs w:val="17"/>
              </w:rPr>
              <w:t xml:space="preserve">AK-NN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Aktor sistem</w:t>
            </w:r>
          </w:p>
        </w:tc>
        <w:tc>
          <w:tcPr>
            <w:tcW w:type="dxa" w:w="325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7"/>
                <w:szCs w:val="17"/>
              </w:rPr>
              <w:t xml:space="preserve">AK-05 — SKAI (Lini 3)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2. AKTOR SISTEM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Delapan aktor berikut diturunkan dari delapan persona pada DOK-01 §6.1. Aktor adalah peran dalam interaksi sistem, bukan jabatan — satu orang dapat memerankan lebih dari satu aktor, sepanjang tidak melanggar aturan pemisahan tugas.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2166"/>
        <w:gridCol w:w="1083"/>
        <w:gridCol w:w="5055"/>
      </w:tblGrid>
      <w:tr>
        <w:trPr>
          <w:tblHeader/>
        </w:trP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Aktor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Persona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Kewenangan Utama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AK-01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Direksi &amp; Dewan Komisaris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PS-01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Menandatangani atestasi, menyetujui kebijakan, menetapkan pengecualian materialitas, memantau dasbor.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AK-02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UKK ICOFR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PS-02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Mengoordinasikan program, memvalidasi RCM, menyetujui klasifikasi defisiensi, memantau SLA.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AK-03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Process Owner / Control Owner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PS-03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Menyusun BPM/RCM, mengisi CSA, melaksanakan remediasi, mengunggah bukti, menandatangani sertifikasi tingkat proses.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AK-04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Lini 2 — Risiko &amp; Kepatuhan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PS-04, PS-06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Memvalidasi rancangan, mengevaluasi CSA, memantau KRI, memetakan kewajiban regulasi.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Lini 3 — SKAI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PS-05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Melaksanakan ToD &amp; ToE, mengklasifikasi defisiensi, melaksanakan audit berbasis risiko.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AK-06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Administrator TI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PS-07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Mengelola RBAC, integrasi, master data, konfigurasi AI, dan ITGC.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AK-07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Auditor Eksternal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PS-08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Membaca dokumentasi, bukti, dan kertas kerja dalam ruang lingkup dan masa berlaku yang ditetapkan.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AK-08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Sistem (Aktor Non-Manusia)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—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Penjadwal, mesin alur kerja, mesin aturan, konektor integrasi, dan AI Orchestrator.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3. KATALOG USE CASE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35 use case berikut mencakup seluruh interaksi bermakna dengan sistem. Enam di antaranya — yang paling menentukan kepatuhan dan paling rawan salah implementasi — dispesifikasikan rinci pada Bab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3"/>
        <w:gridCol w:w="1986"/>
        <w:gridCol w:w="1354"/>
        <w:gridCol w:w="1083"/>
        <w:gridCol w:w="1444"/>
        <w:gridCol w:w="2166"/>
      </w:tblGrid>
      <w:tr>
        <w:trPr>
          <w:tblHeader/>
        </w:trP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Aktor Utama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Penyetuju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FR Terkait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Prakondisi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Menetapkan Materialitas (OM &amp; PM)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 (Akuntansi)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FR-ICF-001, 002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Periode buku aktif; tolok ukur tersedia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Menetapkan Akun Signifikan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FR-ICF-003 s.d. 006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OM &amp; PM telah disetujui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UC-ICF-003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Memetakan Proses &amp; Aplikasi Signifikan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FR-ICF-007, 008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Akun signifikan telah ditetapkan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UC-ICF-004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Menyusun Business Process Mapping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FR-ICF-009 s.d. 011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Proses signifikan telah ditetapkan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UC-ICF-005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Menyusun &amp; Mengajukan RCM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FR-ICF-012, 013, 016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BPM tervalidasi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UC-ICF-006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Menyetujui RCM (maker–checker–approver)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AK-04, AK-01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FR-ICF-016, 017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RCM berstatus Diajukan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UC-ICF-007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Melaksanakan Walkthrough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FR-ICF-018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RCM berstatus Baseline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UC-ICF-008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Mengisi Control Self-Assessment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FR-ICF-019 s.d. 023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Siklus CSA aktif; kontrol ditugaskan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UC-ICF-009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Mengevaluasi Hasil CSA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FR-ICF-024, 025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CSA telah dikirimkan Lini 1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UC-ICF-010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Melaksanakan Test of Design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 (Manager)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FR-ICF-026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Kontrol ditugaskan; penguji bukan pemilik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UC-ICF-011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Melaksanakan Test of Operating Effectiveness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 (Manager)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FR-ICF-027 s.d. 032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ToD berkesimpulan memadai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UC-ICF-012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Mengklasifikasi Defisiensi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AK-02, AK-01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FR-ICF-033 s.d. 038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Terdapat eksepsi atau ToD tidak memadai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UC-ICF-013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Menyusun &amp; Melaksanakan Remediasi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FR-ICF-039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Defisiensi disetujui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UC-ICF-014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Melaksanakan Pengujian Ulang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 (Manager)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FR-ICF-040, 041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Bukti remediasi diverifikasi Lini 2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UC-ICF-015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Menandatangani Atestasi Manajemen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AK-03, AK-01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AK-01 (Dekom)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FR-ICF-042 s.d. 044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Seluruh pengujian periode selesai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UC-GOV-001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Mengelola Struktur Organisasi &amp; Komite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AK-06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FR-GOV-001 s.d. 003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Data HR tersinkron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UC-GOV-002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Memantau Action Tracker Terpadu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FR-GOV-004, 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Terdapat tindak lanjut terbuka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UC-ERM-001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Menilai Risiko &amp; Menghitung Risiko Residual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FR-ERM-004, 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Kontrol tertaut memiliki hasil pengujian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UC-ERM-002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Menjalankan RCSA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FR-ORM-001, 002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Control library aktif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UC-KRI-001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Memantau &amp; Mengeskalasi KRI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AK-08, AK-04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FR-KRI-003 s.d. 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KRI aktif dengan threshold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UC-INC-001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Melaporkan &amp; Menangani Insiden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Semua pengguna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FR-INC-001 s.d. 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UC-CMP-001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Menjalankan Asesmen Kepatuhan &amp; Gap Analysis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FR-CMP-004, 006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Obligation register terisi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UC-POL-001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Menyetujui Kebijakan ICOFR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AK-04, AK-01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AK-01 (Dirut)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FR-POL-003, 004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Draf kebijakan telah direviu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UC-POL-002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Merekam Acknowledgement Kebijakan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Semua pengguna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FR-POL-005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Kebijakan berstatus Berlaku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UC-ITG-001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Menjalankan User Access Review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AK-06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FR-ITG-004, 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Daftar pengguna tertarik dari sistem sumber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UC-DMS-001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Mengunggah &amp; Menautkan Bukti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AK-03, AK-05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FR-DMS-001, 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Objek induk (kontrol/uji) tersedia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UC-IAD-001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Menyusun Audit Plan Berbasis Risiko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AK-01 (Komite Audit)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FR-IAD-001, 002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Skor risiko residual tersedia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UC-IAD-002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Melaksanakan Penugasan Audit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 (Director)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FR-IAD-003 s.d. 008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Penugasan disetujui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UC-RPT-001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Membangkitkan Laporan OJK (Pasal 8)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AK-01 (Direksi)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FR-RPT-001, 002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Atestasi manajemen final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UC-RPT-002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Membangkitkan Paket Laporan Komite Audit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FR-RPT-004, 005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Data pengujian periode tersedia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UC-AIA-001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Menyusun Draf RCM dengan AI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FR-AIA-002, 007, 008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BPM tersedia; AI aktif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UC-AIA-002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Bertanya kepada AI atas Dokumen &amp; Data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Semua pengguna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FR-AIA-006, AIR-005, 011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Basis pengetahuan terindeks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UC-ADM-001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Mengelola Peran &amp; Aturan Pemisahan Tugas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AK-06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FR-ADM-001 s.d. 003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UC-ADM-002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Memberikan Akses Auditor Eksternal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AK-06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FR-ADM-009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Ruang lingkup &amp; masa berlaku ditetapkan</w:t>
            </w:r>
          </w:p>
        </w:tc>
      </w:tr>
      <w:tr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UC-ADM-003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Menelusuri Jejak Audit</w:t>
            </w:r>
          </w:p>
        </w:tc>
        <w:tc>
          <w:tcPr>
            <w:tcW w:type="dxa" w:w="135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AK-05, AK-07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FR-ADM-007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Hak akses jejak audit diberikan</w:t>
            </w:r>
          </w:p>
        </w:tc>
      </w:tr>
    </w:tbl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Tabel 3 — Katalog 35 use case. Diagram use case UML disusun pada DOK-09.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4. SPESIFIKASI USE CASE RINCI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Enam use case berikut dipilih karena tiga alasan: (a) ia langsung menopang kewajiban POJK 15/2024; (b) kesalahan implementasinya menghasilkan pelanggaran kepatuhan, bukan sekadar ketidaknyamanan; dan (c) alur eksepsinya lebih penting daripada alur utamanya.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4.1 UC-ICF-008 — Mengisi CSA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Aktor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AK-03 Process Owner / Control Owner (Lini 1)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Tujuan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Pemilik kontrol menilai mandiri apakah pengendalian yang menjadi tanggung jawabnya berjalan sebagaimana dirancang, dan melampirkan bukti pendukungnya.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Prakondisi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Siklus CSA berstatus Aktif · Kontrol ditugaskan kepada pengguna · RCM periode berjalan berstatus Baseline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Pascakondisi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Hasil CSA berstatus Dikirimkan · Bukti tersimpan dengan hash · Antrean evaluasi Lini 2 terbentuk · Jejak audit tercatat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Aturan Terkait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BRL-004 · VAL-CSA-01 s.d. 04 · SLA WF-ICF-02 · SEC-022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Utama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1.  Sistem mengirim notifikasi pembukaan siklus CSA kepada pemilik kontrol beserta tenggat.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2.  Pengguna membuka daftar kontrol miliknya; sistem hanya menampilkan kontrol yang ditugaskan kepadanya.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3.  Sistem menandai secara visual atribut kontrol yang berubah sejak siklus sebelumnya (FR-ICF-020).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4.  Pengguna memilih satu kontrol; sistem menampilkan risiko, asersi, aktivitas pengendalian, frekuensi, dan jawaban periode lalu sebagai pra-isian.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5.  Pengguna menjawab: (a) Apakah pengendalian dijalankan sesuai rancangan? (b) Apakah terdapat pengecualian? (c) Bila ya, berapa banyak dan mengapa?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6.  Pengguna melampirkan bukti — unggah berkas, tangkap dari kamera, atau tautkan dokumen yang telah ada di DMS.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7.  Pengguna menetapkan kesimpulan mandiri: Memadai / Memadai dengan Catatan / Tidak Memadai.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8.  Sistem memvalidasi (VAL-CSA-01 s.d. 04); bila lulus, pengguna mengirimkan.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9.  Sistem mengubah status menjadi Dikirimkan, memicu penugasan evaluasi kepada Lini 2, dan mencatat jejak audit.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Alternatif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4a. Pengguna menyimpan sebagai draf dan melanjutkan kemudian; status tetap Sedang Diisi.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6a. Pengguna bekerja luring (PWA): jawaban dan bukti tersimpan lokal, tersinkron otomatis saat kembali daring.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7a. Pengguna menyimpulkan Tidak Memadai; sistem mewajibkan pengisian penyebab dan langsung menawarkan pembuatan usulan remediasi.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Eksepsi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E1 — Kesimpulan "Memadai" atas key control tanpa bukti: sistem menolak pengiriman dengan pesan VAL-CSA-02.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E2 — Pengguna bukan pemilik kontrol yang ditugaskan: akses ditolak; percobaan dicatat sebagai kejadian keamanan.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E3 — Tenggat terlampaui: kontrol tetap dapat diisi, namun ditandai Terlambat dan eskalasi ke atasan telah terkirim.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E4 — Berkas bukti terdeteksi malware: unggahan ditolak, berkas dikarantina, tim keamanan diberi tahu (SEC-022).</w:t>
            </w:r>
          </w:p>
        </w:tc>
      </w:tr>
    </w:tbl>
    <w:p>
      <w:pPr>
        <w:spacing w:after="18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4.2 UC-ICF-011 — Test of Operating Effectiveness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Aktor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AK-05 SKAI (Lini 3)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Tujuan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Penguji independen menguji apakah pengendalian benar-benar beroperasi efektif sepanjang periode, dengan sampel yang memadai dan bukti yang dapat ditelusuri.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Prakondisi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ToD berkesimpulan Memadai · Penguji ditugaskan dan bukan pemilik/pelaksana kontrol (BRL-001) · Populasi periode tersedia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Pascakondisi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Kesimpulan ToE tersimpan · Kertas kerja terbangkit · Bila eksepsi &gt; 0, draf defisiensi terbentuk otomatis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Aturan Terkait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BRL-001, BRL-003, BRL-005 · CALC-03 · VAL-TOE-01 s.d. 03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Utama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1.  Penguji membuka penugasan; sistem menampilkan RCM kontrol, hasil ToD, hasil CSA, dan riwayat pengujian periode lalu.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2.  Sistem menghitung saran ukuran sampel berdasarkan frekuensi × tingkat risiko (CALC-03).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3.  Penguji menerima saran atau menyesuaikannya; penyesuaian ke bawah wajib disertai alasan tertulis.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4.  Sistem menarik populasi dari sistem sumber (FR-ICF-029) atau penguji mengunggah populasi; sistem mencatat jumlah populasi.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5.  Sistem memilih sampel secara acak dengan seed tercatat, sehingga pemilihan dapat direproduksi ulang oleh auditor eksternal.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6.  Penguji menguji setiap sampel, menandai Sesuai / Eksepsi, dan melampirkan bukti per sampel.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7.  Sistem menghitung jumlah eksepsi dan menyimpulkan awal: 0 eksepsi → Efektif; &gt; 0 → Tidak Efektif (dapat ditimpa dengan justifikasi).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8.  Penguji menuliskan kesimpulan dan mengirim untuk reviu Audit Manager.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9.  Audit Manager mereviu; setelah disetujui, kertas kerja dikunci menjadi read-only dan defisiensi dibentuk bila eksepsi &gt; 0 (BRL-005).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Alternatif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3a. Kontrol bersifat Otomatis: sistem menyarankan pengujian satu instans (test of one) dengan syarat ITGC terkait berkesimpulan efektif; bila ITGC tidak efektif, sistem menaikkan saran sampel ke tingkat manual.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7a. Penguji menimpa kesimpulan otomatis (mis. eksepsi bersifat isolated); sistem mewajibkan justifikasi dan menandai kesimpulan sebagai Ditimpa untuk perhatian reviewer.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Eksepsi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E1 — Penguji adalah pemilik/pelaksana kontrol: sistem menolak penugasan sejak awal (BRL-001, FR-ICF-031).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E2 — Kesimpulan "Efektif" tanpa bukti atau tanpa ukuran sampel: pengiriman ditolak (BRL-003, VAL-TOE-01).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E3 — Populasi nihil: penguji wajib mendokumentasikan alasan; kontrol ditandai Tidak Dapat Diuji dan dieskalasi ke UKK ICOFR.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E4 — ITGC pendukung tidak efektif: seluruh pengendalian otomatis yang bergantung padanya ditandai Berisiko (FR-ITG-006).</w:t>
            </w:r>
          </w:p>
        </w:tc>
      </w:tr>
    </w:tbl>
    <w:p>
      <w:pPr>
        <w:spacing w:after="18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4.3 UC-ICF-012 — Mengklasifikasi Defisiensi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Aktor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AK-05 SKAI · divalidasi AK-02 UKK ICOFR · disetujui AK-01 Direktur Keuangan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Tujuan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Menentukan apakah suatu defisiensi tergolong Control Deficiency, Significant Deficiency, atau Material Weakness — dengan pertimbangan profesional yang terekam dan dapat diaudit.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Prakondisi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Terdapat eksepsi ToE &gt; 0 atau kesimpulan ToD Tidak Memadai · Nilai PM &amp; OM periode telah ditetapkan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Pascakondisi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Defisiensi terklasifikasi · Seluruh jawaban pohon keputusan tersimpan · Agregasi diperbarui · CAPA dibuka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Aturan Terkait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BRL-005, BRL-006, BRL-007 · CALC-04, CALC-05 · PCAOB AS 2201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Utama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1.  Sistem membentuk draf defisiensi otomatis dari hasil pengujian, terisi dengan kontrol, akun terdampak, dan jumlah eksepsi.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2.  Penguji menetapkan jenis: Defisiensi Rancangan atau Defisiensi Operasi (FR-ICF-035).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3.  Sistem memandu pohon keputusan (CALC-04): estimasi besaran potensi salah saji → dibandingkan terhadap PM dan OM.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4.  Sistem menanyakan kemungkinan terjadinya (remote / cukup mungkin / besar kemungkinan).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5.  Sistem menyilangkan besaran × kemungkinan pada matriks klasifikasi dan mengusulkan CD / SD / MW.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6.  Sistem menanyakan keberadaan pengendalian kompensasi yang telah diuji efektif; bila ada, klasifikasi dapat diturunkan satu tingkat dengan justifikasi.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7.  Sistem memeriksa empat indikator Material Weakness (CALC-05); bila satu pun terpenuhi, klasifikasi dikunci pada MW dan tidak dapat diturunkan.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8.  Sistem memeriksa riwayat: bila defisiensi berulang dengan akar masalah sama tanpa perbaikan, klasifikasi dinaikkan satu tingkat (BRL-007).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9.  Penguji mengirim; UKK ICOFR memvalidasi; klasifikasi SD dan MW wajib disetujui Direktur Keuangan.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10.  Sistem memperbarui agregasi berkelanjutan dan membuka CAPA di action tracker terpadu.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Alternatif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6a. Tidak ada pengendalian kompensasi: klasifikasi tetap sesuai matriks.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9a. Direktur Keuangan menolak klasifikasi: defisiensi dikembalikan kepada penguji dengan catatan; seluruh riwayat penolakan tersimpan.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Eksepsi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E1 — Upaya menurunkan klasifikasi MW yang dikunci indikator: ditolak; sistem menampilkan indikator mana yang terpenuhi.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E2 — Agregasi mendeteksi kombinasi defisiensi pada akun sama melampaui PM: sistem menaikkan seluruh kombinasi menjadi kandidat SD dan memberi tahu UKK ICOFR (BRL-006).</w:t>
            </w:r>
          </w:p>
        </w:tc>
      </w:tr>
    </w:tbl>
    <w:p>
      <w:pPr>
        <w:spacing w:after="18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4.4 UC-ICF-015 — Menandatangani Atestasi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Aktor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AK-03 Process Owner → AK-01 Direktur Bidang → AK-01 Direktur Utama &amp; Direktur Keuangan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Tujuan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Menghasilkan pernyataan berjenjang atas efektivitas ICOFR yang mengikat secara hukum, berpijak pada bukti yang dapat ditelusuri.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Prakondisi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Seluruh pengujian periode selesai · Seluruh defisiensi terklasifikasi dan disetujui · Remediasi yang dijanjikan selesai atau diungkapkan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Pascakondisi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Atestasi ditandatangani digital · Periode dikunci (BRL-008) · Laporan OJK dapat dibangkitkan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Aturan Terkait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BRL-008 · SEC-002, SEC-034 · POJK 15/2024 Ps. 8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Utama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1.  Sistem memverifikasi prasyarat kelengkapan; bila ada kontrol belum diuji atau defisiensi belum disetujui, atestasi tidak dapat dibuka.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2.  Process Owner meninjau ringkasan pengendalian miliknya: jumlah kontrol, hasil pengujian, defisiensi terbuka, status remediasi.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3.  Process Owner menandatangani sertifikasi tingkat proses dengan MFA (SEC-002).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4.  Direktur Bidang meninjau agregat divisinya dan menandatangani.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5.  Direktur Utama &amp; Direktur Keuangan meninjau ringkasan menyeluruh: skor ICOFR, seluruh MW &amp; SD, dan pernyataan yang akan ditandatangani.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6.  Sistem menampilkan pernyataan atestasi dan seluruh defisiensi yang wajib diungkapkan; penanda tangan tidak dapat melanjutkan tanpa membuka setiap MW.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7.  Direktur Utama &amp; Direktur Keuangan menandatangani digital dengan sertifikat yang sah (SEC-034).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8.  Sistem mengunci seluruh data pengujian periode menjadi read-only, membuat snapshot periode, dan mengarsipkannya ke penyimpanan immutable.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9.  Dewan Komisaris menerima notifikasi dan meninjau; hasil peninjauan tersimpan.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Alternatif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5a. Terdapat Material Weakness: sistem tetap mengizinkan atestasi, namun pernyataan berubah menjadi "ICOFR tidak efektif" dengan pengungkapan wajib atas seluruh MW — kalimat tidak dapat diedit pengguna.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9a. Ditemukan kesalahan pasca-atestasi: hanya dapat dikoreksi melalui prosedur restatement bernomor yang membuat versi periode baru; versi lama tetap utuh (BRL-008).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Eksepsi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E1 — Prasyarat tidak lengkap: sistem menampilkan daftar spesifik apa yang kurang dan siapa penanggung jawabnya.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E2 — Sertifikat tanda tangan kedaluwarsa: proses dihentikan; tidak ada mekanisme darurat yang melewati verifikasi sertifikat.</w:t>
            </w:r>
          </w:p>
        </w:tc>
      </w:tr>
    </w:tbl>
    <w:p>
      <w:pPr>
        <w:spacing w:after="18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4.5 UC-POL-001 — Menyetujui Kebijakan ICOFR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Aktor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AK-04 Kepatuhan → AK-01 Dewan Komisaris → AK-01 Direktur Utama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Tujuan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Memenuhi Pasal 4 POJK 15/2024: kebijakan ditetapkan Direktur Utama setelah memperoleh persetujuan Dewan Komisaris — dengan bukti yang tersimpan permanen.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Prakondisi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Draf kebijakan selesai · Jenis dokumen ditandai sebagai "Kebijakan Pengendalian Internal Pelaporan Keuangan"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Pascakondisi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Kebijakan berstatus Berlaku · Bukti persetujuan Dekom &amp; penetapan Dirut tersimpan immutable · Distribusi &amp; acknowledgement dimulai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Aturan Terkait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BRL-002 · POJK 15/2024 Ps. 4 · SEC-034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Utama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1.  Penyusun mengajukan draf; sistem mengenali jenis kebijakan dan memuat alur persetujuan khusus Pasal 4 (FR-POL-003).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2.  Kepatuhan mereviu kesesuaian terhadap POJK dan memberi rekomendasi.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3.  Sistem meneruskan kepada Dewan Komisaris — bukan kepada Direktur Utama. Urutan ini tidak dapat dilewati atau dibalik.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4.  Dewan Komisaris menyetujui dengan tanda tangan digital; sistem mencatat identitas, waktu, dan hash dokumen yang disetujui.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5.  Setelah persetujuan Dekom tercatat, sistem baru membuka tahap penetapan oleh Direktur Utama.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6.  Direktur Utama menetapkan dengan tanda tangan digital.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7.  Kebijakan berstatus Berlaku; sistem mendistribusikan kepada pegawai berdasarkan peran dan mulai merekam acknowledgement (FR-POL-005).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Alternatif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4a. Dewan Komisaris mengembalikan dengan catatan: kebijakan kembali ke penyusun; siklus diulang dari awal — persetujuan sebelumnya tidak berlaku atas versi baru.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6a. Dokumen berubah setelah persetujuan Dekom: sistem mendeteksi perbedaan hash dan membatalkan persetujuan; alur wajib diulang.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Eksepsi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E1 — Upaya meneruskan ke Direktur Utama tanpa persetujuan Dewan Komisaris: ditolak sistem dengan rujukan eksplisit ke Pasal 4 POJK 15/2024.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E2 — Penyusun sama dengan penyetuju: ditolak (BRL-002).</w:t>
            </w:r>
          </w:p>
        </w:tc>
      </w:tr>
    </w:tbl>
    <w:p>
      <w:pPr>
        <w:spacing w:after="18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4.6 UC-AIA-001 — Menyusun Draf RCM dengan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Aktor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AK-03 Process Owner · divalidasi AK-04 Lini 2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Tujuan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Mempercepat penyusunan RCM tanpa memindahkan pertimbangan profesional kepada mesin.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Prakondisi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BPM proses tersedia atau SOP diunggah · AI Assistant aktif · Pengguna berhak atas proses tersebut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Pascakondisi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Draf RCM berstatus "Draf — Belum Divalidasi" · Tidak masuk perhitungan skor apa pun · Antrean validasi Lini 2 terbentuk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Aturan Terkait</w:t>
            </w:r>
          </w:p>
        </w:tc>
        <w:tc>
          <w:tcPr>
            <w:tcW w:type="dxa" w:w="722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BRL-010 · AIR-003 s.d. 009, AIR-011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Utama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1.  Pengguna memilih proses dan memicu penyusunan draf RCM.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2.  Sistem meredaksi PII dan data nasabah dari materi sumber sebelum dikirim ke model (AIR-003).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3.  AI Orchestrator mengambil konteks dari basis pengetahuan Bank — BPM, kebijakan, RCM siklus serupa, register risiko (arsitektur RAG, AIR-004).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4.  Model menghasilkan usulan risiko dan pengendalian beserta asersi, jenis, sifat, frekuensi, dan tingkat risiko.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5.  Sistem menampilkan setiap usulan dengan kutipan sumber yang dapat diklik (AIR-005) dan menandai seluruhnya "Draf — Belum Divalidasi" (BRL-010).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6.  Pengguna menerima, mengubah, atau menolak tiap baris; sistem mencatat keputusan manusia per baris (FR-AIA-008).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7.  Draf yang diterima masuk alur persetujuan RCM normal (UC-ICF-006) — tanpa jalan pintas.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Alternatif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4a. Model tidak menemukan konteks memadai: sistem menyampaikan keterbatasan alih-alih mengarang; tidak ada draf yang dihasilkan.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Alur Eksepsi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E1 — Konten sumber mengandung instruksi tersembunyi (prompt injection): dinetralkan oleh lapisan proteksi; percobaan dicatat sebagai kejadian keamanan (AIR-009).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E2 — Pengguna meminta konten di luar hak aksesnya: AI menolak; basis pengetahuan menghormati RBAC/ABAC (AIR-011).</w:t>
            </w:r>
          </w:p>
        </w:tc>
      </w:tr>
      <w:tr>
        <w:tc>
          <w:tcPr>
            <w:tcW w:type="dxa" w:w="902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7"/>
                <w:szCs w:val="17"/>
              </w:rPr>
              <w:t xml:space="preserve">E3 — Upaya menjadikan keluaran AI sebagai data resmi tanpa persetujuan manusia: ditolak sistem (BRL-010, AIR-006).</w:t>
            </w:r>
          </w:p>
        </w:tc>
      </w:tr>
    </w:tbl>
    <w:p>
      <w:pPr>
        <w:spacing w:after="180"/>
      </w:pP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5. ATURAN PERHITUNGAN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5.1 Daftar Aturan Perhitungan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Setiap angka yang ditampilkan sistem harus dapat dijelaskan asal-usulnya. Sepuluh aturan berikut adalah satu-satunya sumber perhitungan; tidak ada perhitungan tersembunyi di lapisan antarmuka.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1805"/>
        <w:gridCol w:w="2347"/>
        <w:gridCol w:w="4152"/>
      </w:tblGrid>
      <w:tr>
        <w:trPr>
          <w:tblHeader/>
        </w:trP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Aturan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Rumus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Ketentuan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CALC-01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Overall Materiality (OM)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OM = Tolok Ukur × Persentase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Tolok ukur dipilih: laba sebelum pajak (5%), total pendapatan (0,5–1%), total biaya (0,5–1%), atau total aset (0,5–1%). Persentase dapat dikonfigurasi. Pemilihan tolok ukur wajib disertai rasionalisasi tertulis dan disetujui Direktur Keuangan.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CALC-02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Performance Materiality (PM)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PM = OM × Faktor Haircut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Faktor haircut 50%–75%. Nilai lebih rendah dipakai bila terdapat riwayat salah saji, perubahan sistem signifikan, atau defisiensi periode lalu. Faktor wajib disertai rasionalisasi.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CALC-03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Saran Ukuran Sampel ToE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Sampel = f(frekuensi, tingkat risiko, sifat kontrol)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Mengacu tabel sampling (Tabel 5.2). Kontrol otomatis dengan ITGC efektif diuji satu instans (test of one). Bila ITGC tidak efektif, saran naik ke tingkat kontrol manual dengan frekuensi setara.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CALC-04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Klasifikasi Defisiensi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Klasifikasi = Matriks(Besaran, Kemungkinan) → penyesuaian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Besaran potensi salah saji dibandingkan terhadap PM dan OM; kemungkinan dinilai remote / cukup mungkin / besar kemungkinan. Hasil matriks dapat diturunkan satu tingkat bila ada pengendalian kompensasi yang telah diuji efektif, dan dinaikkan satu tingkat bila defisiensi berulang tanpa perbaikan (BRL-007).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CALC-05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Indikator Material Weakness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Bila salah satu indikator terpenuhi → MW (terkunci)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Empat indikator: (a) kecurangan oleh manajemen senior, material maupun tidak; (b) penyajian kembali laporan keuangan untuk mengoreksi salah saji material; (c) salah saji material ditemukan auditor yang tidak akan terdeteksi oleh pengendalian Bank; (d) pengawasan Komite Audit/Dewan Komisaris atas pelaporan keuangan tidak efektif. Klasifikasi MW yang dikunci indikator tidak dapat diturunkan oleh pengendalian kompensasi.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CALC-06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Agregasi Defisiensi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Agregat(akun) = Σ besaran defisiensi dengan akun terdampak sama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Dihitung ulang setiap kali defisiensi ditambah, diubah, atau ditutup. Bila agregat pada satu akun ≥ PM, seluruh defisiensi penyusunnya ditandai kandidat SD. Bila ≥ OM, kandidat MW (BRL-006).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CALC-07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Efektivitas Pengendalian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Efektivitas = f(hasil ToD, hasil ToE)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Efektif = ToD Memadai DAN ToE Efektif. Nilai: Efektif (100%), Efektif Sebagian (50%, eksepsi terisolasi dengan justifikasi diterima), Tidak Efektif (0%). Kontrol belum diuji bernilai null — tidak diperlakukan sebagai efektif.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CALC-08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Risiko Residual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Residual = Inheren × (1 − Efektivitas Tertimbang Kontrol)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Efektivitas tertimbang dihitung dari kontrol yang tertaut ke risiko tersebut, berbobot pada key control. Kontrol berstatus null (belum diuji) tidak menurunkan risiko inheren — asumsi konservatif (FR-ERM-005).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CALC-09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Skor ICOFR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Skor = (Kontrol Efektif ÷ Kontrol In-Scope) × Penalti Defisiensi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Penalti: setiap SD terbuka mengurangi 5 poin; setiap MW terbuka mengurangi 25 poin dan membatasi skor maksimum pada 60. Kontrol belum diuji dihitung sebagai tidak efektif — skor tidak boleh terlihat baik hanya karena pengujian belum dilaksanakan.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CALC-10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Ketepatan Waktu Remediasi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% Tepat Waktu = (CAPA selesai ≤ tenggat) ÷ Total CAPA jatuh tempo</w:t>
            </w:r>
          </w:p>
        </w:tc>
        <w:tc>
          <w:tcPr>
            <w:tcW w:type="dxa" w:w="415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CAPA yang tenggatnya diperpanjang tetap dihitung terhadap tenggat awal. Perpanjangan tercatat beserta alasan dan penyetujunya.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C0891F" w:sz="24"/>
              <w:bottom w:val="none" w:color="auto" w:sz="0"/>
              <w:right w:val="none" w:color="auto" w:sz="0"/>
            </w:tcBorders>
            <w:shd w:fill="F6ECD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Asumsi Konservatif yang Disengaja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CALC-07 dan CALC-09 menetapkan bahwa kontrol yang belum diuji dihitung sebagai tidak efektif, bukan sebagai netral. Ini keputusan sadar: skor ICOFR tidak boleh terlihat baik hanya karena pengujian belum dilaksanakan. Sistem yang menyembunyikan ketidaktahuan di balik angka bagus adalah sistem yang berbahaya bagi penanda tangan atestasi.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5.2 Tabel Sampling ToE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Saran ukuran sampel (CALC-03) mengikuti tabel berikut. Sampel tidak proporsional terhadap populasi — populasi 250 dan populasi 10.000 dapat memiliki ukuran sampel yang sama, karena yang diuji adalah keandalan pengendalian, bukan keterwakilan statistik populasi.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264"/>
        <w:gridCol w:w="1444"/>
        <w:gridCol w:w="1444"/>
        <w:gridCol w:w="3069"/>
      </w:tblGrid>
      <w:tr>
        <w:trPr>
          <w:tblHeader/>
        </w:trP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Frekuensi Kontrol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Populasi Tipikal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Sampel — Risiko Rendah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Sampel — Risiko Tinggi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Catatan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Tahunan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1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Seluruh populasi diuji.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Kuartalan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2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Minimal dua kuartal, dipilih acak.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Bulanan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12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5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Risiko tinggi menuntut cakupan lebih luas.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Mingguan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52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5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15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Harian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± 250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20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40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Berkali-kali sehari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&gt; 250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25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60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Populasi besar; sampel tidak proporsional terhadap populasi.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Otomatis (ITGC efektif)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n/a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1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Test of one — sah hanya bila ITGC terkait berkesimpulan efektif.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Otomatis (ITGC tidak efektif)</w:t>
            </w:r>
          </w:p>
        </w:tc>
        <w:tc>
          <w:tcPr>
            <w:tcW w:type="dxa" w:w="12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n/a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Setara manual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Setara manual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Keandalan otomatisasi tidak dapat diasumsikan (FR-ITG-006).</w:t>
            </w:r>
          </w:p>
        </w:tc>
      </w:tr>
    </w:tbl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Tabel 5.2 — Saran ukuran sampel ToE. Penyesuaian ke bawah wajib disertai alasan (VAL-TOE-02).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5.3 Matriks Klasifikasi Defisiensi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Matriks ini adalah inti CALC-04. Besaran potensi salah saji disilangkan dengan kemungkinan terjadinya. Hasilnya adalah klasifikasi awal, yang kemudian dapat disesuaikan oleh pengendalian kompensasi (turun satu tingkat) atau oleh riwayat berulang (naik satu tingkat).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9"/>
        <w:gridCol w:w="1986"/>
        <w:gridCol w:w="1986"/>
        <w:gridCol w:w="1985"/>
      </w:tblGrid>
      <w:tr>
        <w:trPr>
          <w:tblHeader/>
        </w:trP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Besaran Potensi Salah Saji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Remote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Cukup Mungkin</w:t>
            </w:r>
          </w:p>
        </w:tc>
        <w:tc>
          <w:tcPr>
            <w:tcW w:type="dxa" w:w="198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Besar Kemungkinan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8"/>
                <w:szCs w:val="18"/>
              </w:rPr>
              <w:t xml:space="preserve">Besaran ≥ OM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CD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MW</w:t>
            </w:r>
          </w:p>
        </w:tc>
        <w:tc>
          <w:tcPr>
            <w:tcW w:type="dxa" w:w="198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MW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8"/>
                <w:szCs w:val="18"/>
              </w:rPr>
              <w:t xml:space="preserve">PM ≤ Besaran &lt; OM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CD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SD</w:t>
            </w:r>
          </w:p>
        </w:tc>
        <w:tc>
          <w:tcPr>
            <w:tcW w:type="dxa" w:w="198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MW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8"/>
                <w:szCs w:val="18"/>
              </w:rPr>
              <w:t xml:space="preserve">Besaran &lt; PM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CD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CD</w:t>
            </w:r>
          </w:p>
        </w:tc>
        <w:tc>
          <w:tcPr>
            <w:tcW w:type="dxa" w:w="198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8"/>
                <w:szCs w:val="18"/>
              </w:rPr>
              <w:t xml:space="preserve">SD</w:t>
            </w:r>
          </w:p>
        </w:tc>
      </w:tr>
    </w:tbl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Tabel 5.3 — Matriks klasifikasi. CD = Control Deficiency · SD = Significant Deficiency · MW = Material Weakness.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1E5AA8" w:sz="24"/>
              <w:bottom w:val="none" w:color="auto" w:sz="0"/>
              <w:right w:val="none" w:color="auto" w:sz="0"/>
            </w:tcBorders>
            <w:shd w:fill="F2F5F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Empat Indikator yang Mengunci Material Weakness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CALC-05 menetapkan bahwa klasifikasi MW terkunci — tidak dapat diturunkan oleh pengendalian kompensasi mana pun — bila salah satu dari empat hal berikut terpenuhi: (a) kecurangan oleh manajemen senior, material maupun tidak; (b) penyajian kembali laporan keuangan untuk mengoreksi salah saji material; (c) salah saji material ditemukan auditor yang tidak akan terdeteksi oleh pengendalian Bank sendiri; (d) pengawasan Komite Audit atau Dewan Komisaris atas pelaporan keuangan tidak efektif.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Indikator (c) layak direnungkan. Ia berarti: bila auditor eksternal menemukan salah saji material yang luput dari seluruh pengendalian Bank, maka menurut definisi pengendalian itu tidak bekerja — terlepas dari seberapa baik dokumentasinya.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6. MESIN STATUS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Lima entitas berikut memiliki siklus hidup yang ditegakkan sistem. Transisi yang tidak tercantum di tabel adalah transisi yang tidak diizinkan — bukan transisi yang belum dipikirkan. Setiap transisi mencatat jejak audit (siapa, kapan, dari status apa ke status apa).</w:t>
      </w:r>
    </w:p>
    <w:p>
      <w:pPr>
        <w:spacing w:after="14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5AA8"/>
          <w:sz w:val="22"/>
          <w:szCs w:val="22"/>
        </w:rPr>
        <w:t xml:space="preserve">RCM (Risk Control Matrix)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986"/>
        <w:gridCol w:w="2347"/>
        <w:gridCol w:w="2888"/>
      </w:tblGrid>
      <w:tr>
        <w:trPr>
          <w:tblHeader/>
        </w:trP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Awal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Tujuan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Pemicu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Penjaga (Guard)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Draf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Diajukan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Penyusun mengirim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Kelengkapan atribut wajib terpenuhi (VAL-RCM-01)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Diajukan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Direviu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Lini 2 mengambil tugas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Reviewer ≠ penyusun (BRL-002)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Direviu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Draf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Lini 2 mengembalikan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Catatan reviu wajib diisi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Direviu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Disetujui (Baseline)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Approver menyetujui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Approver ≠ penyusun dan ≠ reviewer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Disetujui (Baseline)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Perubahan Diusulkan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Pengguna mengusulkan perubahan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Versi baru dibuat; versi lama tetap dapat dibaca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Perubahan Diusulkan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Direviu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Diajukan ulang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Siklus persetujuan diulang penuh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Disetujui (Baseline)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Pensiun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Kontrol tidak lagi relevan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Rasionalisasi wajib; riwayat pengujian tetap utuh</w:t>
            </w:r>
          </w:p>
        </w:tc>
      </w:tr>
    </w:tbl>
    <w:p>
      <w:pPr>
        <w:spacing w:after="16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5AA8"/>
          <w:sz w:val="22"/>
          <w:szCs w:val="22"/>
        </w:rPr>
        <w:t xml:space="preserve">CSA (Control Self-Assessment)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986"/>
        <w:gridCol w:w="2347"/>
        <w:gridCol w:w="2888"/>
      </w:tblGrid>
      <w:tr>
        <w:trPr>
          <w:tblHeader/>
        </w:trP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Awal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Tujuan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Pemicu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Penjaga (Guard)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Belum Dikirim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Terkirim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Siklus dibuka penjadwal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Siklus berstatus Aktif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Terkirim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Sedang Diisi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Pemilik membuka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Sedang Diisi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Dikirimkan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Pemilik mengirim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VAL-CSA-01 s.d. 04 lulus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Sedang Diisi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Terlambat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Tenggat terlampaui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Eskalasi otomatis ke atasan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Dikirimkan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Dievaluasi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Lini 2 mengambil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Evaluator ≠ pemilik kontrol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Dievaluasi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Sedang Diisi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Lini 2 mengembalikan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Catatan wajib diisi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Dievaluasi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Selesai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Lini 2 menyetujui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Kesimpulan Lini 1 &amp; Lini 2 keduanya tersimpan</w:t>
            </w:r>
          </w:p>
        </w:tc>
      </w:tr>
    </w:tbl>
    <w:p>
      <w:pPr>
        <w:spacing w:after="16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5AA8"/>
          <w:sz w:val="22"/>
          <w:szCs w:val="22"/>
        </w:rPr>
        <w:t xml:space="preserve">Defisiensi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986"/>
        <w:gridCol w:w="2347"/>
        <w:gridCol w:w="2888"/>
      </w:tblGrid>
      <w:tr>
        <w:trPr>
          <w:tblHeader/>
        </w:trP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Awal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Tujuan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Pemicu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Penjaga (Guard)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Draf Otomatis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Diklasifikasi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Penguji menyelesaikan pohon keputusan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Seluruh pertanyaan CALC-04 &amp; CALC-05 terjawab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Diklasifikasi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Divalidasi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UKK ICOFR memvalidasi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Validator ≠ penguji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Divalidasi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Disetujui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Direktur Keuangan menyetujui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Wajib untuk klasifikasi SD dan MW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Divalidasi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Diklasifikasi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Dikembalikan dengan catatan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Riwayat penolakan tersimpan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Disetujui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Remediasi Berjalan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CAPA disetujui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CAPA memiliki PIC dan tenggat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Remediasi Berjalan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Menunggu Pengujian Ulang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Bukti remediasi diverifikasi Lini 2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Bukti terlampir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Menunggu Pengujian Ulang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Ditutup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Pengujian ulang lulus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Pengujian ulang oleh Lini 3 (BRL-005)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Menunggu Pengujian Ulang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Remediasi Berjalan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Pengujian ulang gagal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Klasifikasi ditinjau ulang; kandidat kenaikan (BRL-007)</w:t>
            </w:r>
          </w:p>
        </w:tc>
      </w:tr>
    </w:tbl>
    <w:p>
      <w:pPr>
        <w:spacing w:after="16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5AA8"/>
          <w:sz w:val="22"/>
          <w:szCs w:val="22"/>
        </w:rPr>
        <w:t xml:space="preserve">Kebijakan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986"/>
        <w:gridCol w:w="2347"/>
        <w:gridCol w:w="2888"/>
      </w:tblGrid>
      <w:tr>
        <w:trPr>
          <w:tblHeader/>
        </w:trP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Awal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Tujuan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Pemicu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Penjaga (Guard)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Draf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Direviu Kepatuhan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Penyusun mengajukan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Direviu Kepatuhan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Menunggu Persetujuan Dekom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Kepatuhan merekomendasikan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Khusus kebijakan ICOFR (Ps. 4)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Menunggu Persetujuan Dekom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Menunggu Penetapan Dirut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Dewan Komisaris menyetujui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Hash dokumen terekam; urutan tidak dapat dilewati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Menunggu Penetapan Dirut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Berlaku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Direktur Utama menetapkan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Hash tidak berubah sejak persetujuan Dekom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Berlaku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Ditinjau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Jadwal reviu berkala tiba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Notifikasi ke pemilik kebijakan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Berlaku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Dicabut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Kebijakan pengganti berlaku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Versi lama tetap dapat dibaca (retensi 10 tahun)</w:t>
            </w:r>
          </w:p>
        </w:tc>
      </w:tr>
    </w:tbl>
    <w:p>
      <w:pPr>
        <w:spacing w:after="16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5AA8"/>
          <w:sz w:val="22"/>
          <w:szCs w:val="22"/>
        </w:rPr>
        <w:t xml:space="preserve">Atestasi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986"/>
        <w:gridCol w:w="2347"/>
        <w:gridCol w:w="2888"/>
      </w:tblGrid>
      <w:tr>
        <w:trPr>
          <w:tblHeader/>
        </w:trP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Awal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Tujuan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Pemicu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Penjaga (Guard)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Belum Dibuka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Terbuka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Prasyarat kelengkapan terpenuhi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Nihil kontrol belum diuji; nihil defisiensi belum disetujui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Terbuka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Sertifikasi Proses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Process Owner menandatangani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MFA wajib (SEC-002)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Sertifikasi Proses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Persetujuan Direktur Bidang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Direktur Bidang menandatangani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Seluruh PO di bawahnya telah menandatangani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Persetujuan Direktur Bidang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Atestasi Direksi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Dirut &amp; Dir. Keuangan menandatangani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Seluruh MW telah dibuka dan diakui penanda tangan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Atestasi Direksi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Final (Periode Terkunci)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Sistem mengunci periode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Snapshot dibuat; data read-only (BRL-008)</w:t>
            </w:r>
          </w:p>
        </w:tc>
      </w:tr>
      <w:tr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Final (Periode Terkunci)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Restatement</w:t>
            </w:r>
          </w:p>
        </w:tc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Prosedur restatement bernomor</w:t>
            </w:r>
          </w:p>
        </w:tc>
        <w:tc>
          <w:tcPr>
            <w:tcW w:type="dxa" w:w="288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Versi periode baru; versi lama tetap utuh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C0891F" w:sz="24"/>
              <w:bottom w:val="none" w:color="auto" w:sz="0"/>
              <w:right w:val="none" w:color="auto" w:sz="0"/>
            </w:tcBorders>
            <w:shd w:fill="F6ECD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Transisi yang Sengaja Tidak Ada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Tidak ada transisi dari "Final (Periode Terkunci)" kembali ke status pengujian mana pun. Satu-satunya jalan keluar adalah Restatement — yang membuat versi periode baru dan meninggalkan versi lama utuh. Ini bukan keterbatasan; ini adalah keseluruhan alasan sistem ini ada.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7. ATURAN VALIDASI &amp; PESAN KESALAHAN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Pesan kesalahan di bawah adalah teks final yang akan ditampilkan sistem — bukan deskripsi tentang teks yang akan ditulis kemudian. Setiap pesan menyebutkan aturan yang dilanggar, karena pengguna yang memahami alasan penolakan akan berhenti mencari jalan pintas.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1083"/>
        <w:gridCol w:w="3069"/>
        <w:gridCol w:w="3971"/>
      </w:tblGrid>
      <w:tr>
        <w:trPr>
          <w:tblHeader/>
        </w:trP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Objek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Kondisi Pemicu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Pesan yang Ditampilkan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VAL-RCM-01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RCM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Atribut wajib RCM belum lengkap.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"Kontrol tidak dapat diajukan. Lengkapi terlebih dahulu: {daftar atribut yang kosong}."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VAL-RCM-02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RCM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Kontrol ditandai key control namun tidak tertaut ke asersi mana pun.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"Key control wajib tertaut ke sekurang-kurangnya satu asersi laporan keuangan."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VAL-RCM-03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RCM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Penyusun sama dengan penyetuju.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"Anda tidak dapat menyetujui kontrol yang Anda susun sendiri (Aturan BRL-002 — Pemisahan Tugas)."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VAL-CSA-01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CSA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Kesimpulan belum dipilih.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"Pilih kesimpulan penilaian mandiri sebelum mengirim."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VAL-CSA-02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CSA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Kesimpulan "Memadai" atas key control tanpa bukti.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"Key control memerlukan bukti pendukung. Lampirkan sekurang-kurangnya satu bukti (Aturan BRL-004)."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VAL-CSA-03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CSA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Kesimpulan "Tidak Memadai" tanpa penjelasan penyebab.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"Jelaskan penyebab pengendalian tidak berjalan sebagaimana dirancang."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VAL-CSA-04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CSA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Jumlah pengecualian diisi namun uraiannya kosong.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"Uraikan pengecualian yang terjadi agar dapat ditindaklanjuti Lini 2."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VAL-TOD-01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ToD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Kesimpulan tanpa prosedur uji terdokumentasi.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"Dokumentasikan prosedur pengujian rancangan sebelum menyimpulkan."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VAL-TOE-01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ToE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Kesimpulan "Efektif" tanpa bukti atau ukuran sampel kosong.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"Kesimpulan Efektif memerlukan ukuran sampel dan bukti pengujian (Aturan BRL-003)."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VAL-TOE-02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ToE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Ukuran sampel di bawah saran sistem tanpa alasan.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"Ukuran sampel di bawah saran ({n}). Cantumkan alasan penyesuaian."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VAL-TOE-03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ToE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Penguji adalah pemilik atau pelaksana kontrol.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"Penugasan ditolak. Penguji tidak boleh menguji pengendalian yang dijalankannya sendiri (Aturan BRL-001)."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VAL-TOE-04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ToE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Jumlah sampel diuji kurang dari ukuran sampel yang ditetapkan.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"Sampel belum diuji seluruhnya: {x} dari {n}."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VAL-DEF-01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Defisiensi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Pohon keputusan belum lengkap.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"Seluruh pertanyaan klasifikasi wajib dijawab agar pertimbangan profesional terekam."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VAL-DEF-02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Defisiensi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Upaya menurunkan klasifikasi MW yang dikunci indikator.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"Klasifikasi Material Weakness tidak dapat diturunkan. Indikator terpenuhi: {indikator}."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VAL-DEF-03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Defisiensi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Penurunan klasifikasi tanpa pengendalian kompensasi yang telah diuji efektif.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"Penurunan klasifikasi memerlukan pengendalian kompensasi dengan hasil pengujian efektif."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VAL-CAP-01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CAPA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Penutupan tanpa pengujian ulang yang lulus.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"Defisiensi tidak dapat ditutup sebelum pengujian ulang oleh Lini 3 berkesimpulan efektif (Aturan BRL-005)."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VAL-POL-01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Kebijakan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Upaya meneruskan kebijakan ICOFR ke Direktur Utama tanpa persetujuan Dewan Komisaris.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"Kebijakan pengendalian internal pelaporan keuangan wajib memperoleh persetujuan Dewan Komisaris terlebih dahulu (POJK 15/2024 Pasal 4)."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VAL-POL-02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Kebijakan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Dokumen berubah setelah persetujuan Dewan Komisaris.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"Dokumen telah berubah sejak persetujuan. Persetujuan dibatalkan dan alur wajib diulang."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VAL-ATT-01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Atestasi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Prasyarat kelengkapan belum terpenuhi.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"Atestasi belum dapat dibuka. Belum selesai: {n} kontrol belum diuji, {m} defisiensi belum disetujui."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VAL-ATT-02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Atestasi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Melanjutkan tanda tangan tanpa membuka seluruh Material Weakness.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"Setiap Material Weakness wajib Anda tinjau sebelum menandatangani."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VAL-AIA-01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AI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Upaya menjadikan keluaran AI sebagai data resmi tanpa persetujuan manusia.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"Keluaran AI berstatus draf dan memerlukan persetujuan manusia berwenang (Aturan BRL-010)."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VAL-GEN-01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Umum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Periode telah dikunci pasca-atestasi.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"Periode {tahun} telah dikunci. Perubahan hanya dapat dilakukan melalui prosedur restatement (Aturan BRL-008)."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VAL-GEN-02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Umum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Pengecualian akun ≥ PM dari ruang lingkup.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"Akun bernilai ≥ Performance Materiality. Pengecualian memerlukan rasionalisasi dan persetujuan Direktur Keuangan (Aturan BRL-009)."</w:t>
            </w:r>
          </w:p>
        </w:tc>
      </w:tr>
    </w:tbl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Tabel 7 — 23 aturan validasi. Seluruhnya diuji dengan skenario pelanggaran pada DOK-34 (kriteria TAC-05).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8. KASUS TEPI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Kasus berikut jarang terjadi namun mahal bila salah ditangani. Ia dicantumkan di sini agar tidak ditemukan pertama kali oleh auditor eksternal.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3249"/>
        <w:gridCol w:w="5055"/>
      </w:tblGrid>
      <w:tr>
        <w:trPr>
          <w:tblHeader/>
        </w:trP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Situasi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Perilaku Sistem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EDG-01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Populasi kontrol nihil pada periode berjalan (mis. produk baru belum bertransaksi).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Kontrol ditandai Tidak Dapat Diuji dengan rasionalisasi wajib; dieskalasi ke UKK ICOFR; tidak dihitung sebagai efektif maupun tidak efektif, namun diungkapkan dalam laporan.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EDG-02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Pemilik kontrol berhenti bekerja di tengah siklus CSA.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Sistem mendeteksi status pegawai nonaktif dari integrasi HR, menugaskan ulang kepada atasan langsung, dan memberi notifikasi kepada UKK ICOFR. Jawaban parsial tetap tersimpan.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EDG-03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Kontrol berubah di tengah periode (rancangan direvisi setelah pengujian sebagian).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Periode pengujian dipecah: pengendalian lama diuji untuk rentang sebelum perubahan, pengendalian baru untuk rentang sesudahnya. Kedua kesimpulan tersimpan dan diagregasi.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EDG-04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Defisiensi ditemukan setelah atestasi ditandatangani namun sebelum laporan OJK dikirim.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Sistem tidak mengizinkan perubahan diam-diam. Prosedur restatement bernomor wajib; atestasi lama tetap tersimpan; atestasi baru dibuat; keduanya dapat dibandingkan.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EDG-05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Auditor eksternal meminta bukti atas periode yang telah dikunci.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Akses baca ke snapshot periode tetap tersedia sepanjang masa retensi; setiap akses tercatat dalam jejak audit (BRL-012).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EDG-06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ITGC tidak efektif pada aplikasi yang menopang banyak kontrol otomatis.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Seluruh kontrol otomatis yang bergantung padanya ditandai Berisiko; saran sampel ToE dinaikkan ke tingkat manual; dampak agregat dihitung terhadap seluruh akun terdampak.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EDG-07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Integrasi Core Banking tidak tersedia saat penarikan populasi.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Sistem beralih ke unggah populasi manual dengan penandaan sumber "Manual"; rekonsiliasi jumlah baris wajib; tidak menghentikan siklus pengujian.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EDG-08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Dua defisiensi kecil pada akun yang sama, masing-masing di bawah PM, namun jumlahnya melampaui PM.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CALC-06 menaikkan keduanya menjadi kandidat Significant Deficiency dan memberi tahu UKK ICOFR (BRL-006). Inilah kegagalan paling umum pada pendekatan berbasis spreadsheet.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C0891F" w:sz="24"/>
              <w:bottom w:val="none" w:color="auto" w:sz="0"/>
              <w:right w:val="none" w:color="auto" w:sz="0"/>
            </w:tcBorders>
            <w:shd w:fill="F6ECD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EDG-08 Layak Dibaca Dua Kali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Dua defisiensi kecil pada akun yang sama, masing-masing di bawah Performance Materiality, yang jumlahnya melampaui PM. Secara individual keduanya tampak tidak berbahaya — dan pada pendekatan berbasis spreadsheet, keduanya memang akan dicatat sebagai Control Deficiency biasa lalu dilupakan.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Agregasi berkelanjutan (CALC-06) menangkap kombinasi ini sejak defisiensi kedua tercatat, bukan menjelang tutup buku. Inilah satu kemampuan yang paling sulit ditiru spreadsheet, dan paling sering menjadi temuan auditor eksternal.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9. MATRIKS KETERTELUSURAN FR → UC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Rantai ketertelusuran (DOK-00 §5.4) berlanjut: setiap FR pada DOK-02 harus tercakup oleh sekurang-kurangnya satu use case, dan setiap use case akan diturunkan menjadi kasus uji pada DOK-34.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5055"/>
        <w:gridCol w:w="1444"/>
      </w:tblGrid>
      <w:tr>
        <w:trPr>
          <w:tblHeader/>
        </w:trP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Kelompok FR (DOK-02)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 Case yang Mencakupnya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Cakupan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FR-ICF-001 s.d. 045 (45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UC-ICF-001 s.d. UC-ICF-015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FR-GOV-001 s.d. 008 (8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UC-GOV-001, UC-GOV-002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FR-ERM/ORM/KRI/LED/INC (29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UC-ERM-001, UC-ERM-002, UC-KRI-001, UC-INC-001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FR-CMP/POL (13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UC-CMP-001, UC-POL-001, UC-POL-002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FR-ITG/ITA/DMS (16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UC-ITG-001, UC-DMS-001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FR-IAD-001 s.d. 008 (8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UC-IAD-001, UC-IAD-002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FR-RPT-001 s.d. 008 (8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UC-RPT-001, UC-RPT-002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FR-AIA-001 s.d. 010 (10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UC-AIA-001, UC-AIA-002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FR-ADM-001 s.d. 010 (10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UC-ADM-001, UC-ADM-002, UC-ADM-003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FR-DSH-001 s.d. 008 (8 FR)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Tercakup lintas UC (dasbor mengonsumsi keluaran seluruh UC)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Penuh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4"/>
        <w:gridCol w:w="4062"/>
      </w:tblGrid>
      <w:tr>
        <w:trPr>
          <w:tblHeader/>
        </w:trPr>
        <w:tc>
          <w:tcPr>
            <w:tcW w:type="dxa" w:w="496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Pemeriksaan</w:t>
            </w:r>
          </w:p>
        </w:tc>
        <w:tc>
          <w:tcPr>
            <w:tcW w:type="dxa" w:w="406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</w:tr>
      <w:tr>
        <w:tc>
          <w:tcPr>
            <w:tcW w:type="dxa" w:w="49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8"/>
                <w:szCs w:val="18"/>
              </w:rPr>
              <w:t xml:space="preserve">Aturan bisnis (BRL) dengan aturan validasi penegak</w:t>
            </w:r>
          </w:p>
        </w:tc>
        <w:tc>
          <w:tcPr>
            <w:tcW w:type="dxa" w:w="406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8"/>
                <w:szCs w:val="18"/>
              </w:rPr>
              <w:t xml:space="preserve">12 dari 12</w:t>
            </w:r>
          </w:p>
        </w:tc>
      </w:tr>
      <w:tr>
        <w:tc>
          <w:tcPr>
            <w:tcW w:type="dxa" w:w="49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8"/>
                <w:szCs w:val="18"/>
              </w:rPr>
              <w:t xml:space="preserve">Use case tanpa FR induk</w:t>
            </w:r>
          </w:p>
        </w:tc>
        <w:tc>
          <w:tcPr>
            <w:tcW w:type="dxa" w:w="406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8"/>
                <w:szCs w:val="18"/>
              </w:rPr>
              <w:t xml:space="preserve">Nihil</w:t>
            </w:r>
          </w:p>
        </w:tc>
      </w:tr>
      <w:tr>
        <w:tc>
          <w:tcPr>
            <w:tcW w:type="dxa" w:w="49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8"/>
                <w:szCs w:val="18"/>
              </w:rPr>
              <w:t xml:space="preserve">FR tanpa use case yang mencakupnya</w:t>
            </w:r>
          </w:p>
        </w:tc>
        <w:tc>
          <w:tcPr>
            <w:tcW w:type="dxa" w:w="406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8"/>
                <w:szCs w:val="18"/>
              </w:rPr>
              <w:t xml:space="preserve">Nihil dari 155 FR</w:t>
            </w:r>
          </w:p>
        </w:tc>
      </w:tr>
      <w:tr>
        <w:tc>
          <w:tcPr>
            <w:tcW w:type="dxa" w:w="496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8"/>
                <w:szCs w:val="18"/>
              </w:rPr>
              <w:t xml:space="preserve">Aturan perhitungan tanpa rujukan use case</w:t>
            </w:r>
          </w:p>
        </w:tc>
        <w:tc>
          <w:tcPr>
            <w:tcW w:type="dxa" w:w="406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8"/>
                <w:szCs w:val="18"/>
              </w:rPr>
              <w:t xml:space="preserve">Nihil dari 10 CALC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LEMBAR PERSETUJUAN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Dengan menandatangani lembar ini, para pihak menyatakan bahwa 35 use case, 10 aturan perhitungan, 5 mesin status, 23 aturan validasi, dan 8 kasus tepi sebagaimana diuraikan dalam dokumen ini merupakan spesifikasi perilaku fungsional yang lengkap dan mengikat.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9"/>
        <w:gridCol w:w="2708"/>
        <w:gridCol w:w="3249"/>
      </w:tblGrid>
      <w:tr>
        <w:trPr>
          <w:tblHeader/>
        </w:trP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Tanda Tangan &amp; Tanggal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Disusun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Konsultan — Seraya Institute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Product Owner / Ketua UKK ICOFR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Kepala SKAI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Manajemen Risiko &amp; Kepatuhan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Lead Architect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Disetujui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Sponsor Program (Direksi)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line="276"/>
        <w:jc w:val="center"/>
      </w:pPr>
      <w:r>
        <w:rPr>
          <w:rFonts w:ascii="Calibri" w:cs="Calibri" w:eastAsia="Calibri" w:hAnsi="Calibri"/>
          <w:i/>
          <w:iCs/>
          <w:color w:val="5C6B7E"/>
          <w:sz w:val="21"/>
          <w:szCs w:val="21"/>
        </w:rPr>
        <w:t xml:space="preserve">— Akhir Dokumen DOK-03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DOK-03 · Functional Requirement Specification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0891F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color w:val="5C6B7E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3366B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color w:val="1B4A8A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9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3366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4A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5A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DOK-03 · Functional Requirement Specification · v1.0 · Seraya Institute</dc:title>
  <dc:creator>Seraya Institute</dc:creator>
  <cp:lastModifiedBy>Un-named</cp:lastModifiedBy>
  <cp:revision>1</cp:revision>
  <dcterms:created xsi:type="dcterms:W3CDTF">2026-07-12T05:19:23.202Z</dcterms:created>
  <dcterms:modified xsi:type="dcterms:W3CDTF">2026-07-12T05:19:23.202Z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