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SERAYA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DOK-04</w:t>
      </w:r>
    </w:p>
    <w:p>
      <w:pPr>
        <w:spacing w:after="100"/>
        <w:jc w:val="left"/>
      </w:pPr>
      <w:r>
        <w:rPr>
          <w:rFonts w:ascii="Cambria" w:cs="Cambria" w:eastAsia="Cambria" w:hAnsi="Cambria"/>
          <w:b/>
          <w:bCs/>
          <w:color w:val="13366B"/>
          <w:sz w:val="44"/>
          <w:szCs w:val="44"/>
        </w:rPr>
        <w:t xml:space="preserve">TECHNICAL REQUIREMENT</w:t>
      </w:r>
    </w:p>
    <w:p>
      <w:pPr>
        <w:spacing w:after="500"/>
      </w:pPr>
      <w:r>
        <w:rPr>
          <w:rFonts w:ascii="Cambria" w:cs="Cambria" w:eastAsia="Cambria" w:hAnsi="Cambria"/>
          <w:color w:val="5C6B7E"/>
          <w:sz w:val="24"/>
          <w:szCs w:val="24"/>
        </w:rPr>
        <w:t xml:space="preserve">Specification (TRS) — Arsitektur &amp; Keputusan Teknis</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DOK-04</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PENDAHULUAN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60" w:line="264"/>
        <w:ind w:left="0"/>
      </w:pPr>
      <w:r>
        <w:rPr>
          <w:rFonts w:ascii="Calibri" w:cs="Calibri" w:eastAsia="Calibri" w:hAnsi="Calibri"/>
          <w:b/>
          <w:bCs/>
          <w:color w:val="13366B"/>
          <w:sz w:val="20"/>
          <w:szCs w:val="20"/>
        </w:rPr>
        <w:t xml:space="preserve">2. TUMPUKAN TEKNOLOGI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5</w:t>
      </w:r>
    </w:p>
    <w:p>
      <w:pPr>
        <w:tabs>
          <w:tab w:val="right" w:pos="9026" w:leader="dot"/>
        </w:tabs>
        <w:spacing w:after="60" w:line="264"/>
        <w:ind w:left="0"/>
      </w:pPr>
      <w:r>
        <w:rPr>
          <w:rFonts w:ascii="Calibri" w:cs="Calibri" w:eastAsia="Calibri" w:hAnsi="Calibri"/>
          <w:b/>
          <w:bCs/>
          <w:color w:val="13366B"/>
          <w:sz w:val="20"/>
          <w:szCs w:val="20"/>
        </w:rPr>
        <w:t xml:space="preserve">3. KOMPONEN ARSITEKTUR</w:t>
      </w:r>
      <w:r>
        <w:rPr>
          <w:rFonts w:ascii="Calibri" w:cs="Calibri" w:eastAsia="Calibri" w:hAnsi="Calibri"/>
          <w:color w:val="D3DCEA"/>
          <w:sz w:val="19"/>
          <w:szCs w:val="19"/>
        </w:rPr>
        <w:tab/>
      </w:r>
      <w:r>
        <w:rPr>
          <w:rFonts w:ascii="Calibri" w:cs="Calibri" w:eastAsia="Calibri" w:hAnsi="Calibri"/>
          <w:b/>
          <w:bCs/>
          <w:color w:val="13366B"/>
          <w:sz w:val="19"/>
          <w:szCs w:val="19"/>
        </w:rPr>
        <w:t xml:space="preserve">7</w:t>
      </w:r>
    </w:p>
    <w:p>
      <w:pPr>
        <w:tabs>
          <w:tab w:val="right" w:pos="9026" w:leader="dot"/>
        </w:tabs>
        <w:spacing w:after="60" w:line="264"/>
        <w:ind w:left="0"/>
      </w:pPr>
      <w:r>
        <w:rPr>
          <w:rFonts w:ascii="Calibri" w:cs="Calibri" w:eastAsia="Calibri" w:hAnsi="Calibri"/>
          <w:b/>
          <w:bCs/>
          <w:color w:val="13366B"/>
          <w:sz w:val="20"/>
          <w:szCs w:val="20"/>
        </w:rPr>
        <w:t xml:space="preserve">4. ARCHITECTURE DECISION RECORD</w:t>
      </w:r>
      <w:r>
        <w:rPr>
          <w:rFonts w:ascii="Calibri" w:cs="Calibri" w:eastAsia="Calibri" w:hAnsi="Calibri"/>
          <w:color w:val="D3DCEA"/>
          <w:sz w:val="19"/>
          <w:szCs w:val="19"/>
        </w:rPr>
        <w:tab/>
      </w:r>
      <w:r>
        <w:rPr>
          <w:rFonts w:ascii="Calibri" w:cs="Calibri" w:eastAsia="Calibri" w:hAnsi="Calibri"/>
          <w:b/>
          <w:bCs/>
          <w:color w:val="13366B"/>
          <w:sz w:val="19"/>
          <w:szCs w:val="19"/>
        </w:rPr>
        <w:t xml:space="preserve">8</w:t>
      </w:r>
    </w:p>
    <w:p>
      <w:pPr>
        <w:tabs>
          <w:tab w:val="right" w:pos="9026" w:leader="dot"/>
        </w:tabs>
        <w:spacing w:after="30" w:line="264"/>
        <w:ind w:left="340"/>
      </w:pPr>
      <w:r>
        <w:rPr>
          <w:rFonts w:ascii="Calibri" w:cs="Calibri" w:eastAsia="Calibri" w:hAnsi="Calibri"/>
          <w:b w:val="false"/>
          <w:bCs w:val="false"/>
          <w:color w:val="20293A"/>
          <w:sz w:val="19"/>
          <w:szCs w:val="19"/>
        </w:rPr>
        <w:t xml:space="preserve">4.1 ADR-001 — Basis Data Utama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8</w:t>
      </w:r>
    </w:p>
    <w:p>
      <w:pPr>
        <w:tabs>
          <w:tab w:val="right" w:pos="9026" w:leader="dot"/>
        </w:tabs>
        <w:spacing w:after="30" w:line="264"/>
        <w:ind w:left="340"/>
      </w:pPr>
      <w:r>
        <w:rPr>
          <w:rFonts w:ascii="Calibri" w:cs="Calibri" w:eastAsia="Calibri" w:hAnsi="Calibri"/>
          <w:b w:val="false"/>
          <w:bCs w:val="false"/>
          <w:color w:val="20293A"/>
          <w:sz w:val="19"/>
          <w:szCs w:val="19"/>
        </w:rPr>
        <w:t xml:space="preserve">4.2 ADR-002 — Mesin BPMN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8</w:t>
      </w:r>
    </w:p>
    <w:p>
      <w:pPr>
        <w:tabs>
          <w:tab w:val="right" w:pos="9026" w:leader="dot"/>
        </w:tabs>
        <w:spacing w:after="30" w:line="264"/>
        <w:ind w:left="340"/>
      </w:pPr>
      <w:r>
        <w:rPr>
          <w:rFonts w:ascii="Calibri" w:cs="Calibri" w:eastAsia="Calibri" w:hAnsi="Calibri"/>
          <w:b w:val="false"/>
          <w:bCs w:val="false"/>
          <w:color w:val="20293A"/>
          <w:sz w:val="19"/>
          <w:szCs w:val="19"/>
        </w:rPr>
        <w:t xml:space="preserve">4.3 ADR-003 — Jejak Audit Hash-Chain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9</w:t>
      </w:r>
    </w:p>
    <w:p>
      <w:pPr>
        <w:tabs>
          <w:tab w:val="right" w:pos="9026" w:leader="dot"/>
        </w:tabs>
        <w:spacing w:after="30" w:line="264"/>
        <w:ind w:left="340"/>
      </w:pPr>
      <w:r>
        <w:rPr>
          <w:rFonts w:ascii="Calibri" w:cs="Calibri" w:eastAsia="Calibri" w:hAnsi="Calibri"/>
          <w:b w:val="false"/>
          <w:bCs w:val="false"/>
          <w:color w:val="20293A"/>
          <w:sz w:val="19"/>
          <w:szCs w:val="19"/>
        </w:rPr>
        <w:t xml:space="preserve">4.4 ADR-004 — Topologi Penggelaran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9</w:t>
      </w:r>
    </w:p>
    <w:p>
      <w:pPr>
        <w:tabs>
          <w:tab w:val="right" w:pos="9026" w:leader="dot"/>
        </w:tabs>
        <w:spacing w:after="30" w:line="264"/>
        <w:ind w:left="340"/>
      </w:pPr>
      <w:r>
        <w:rPr>
          <w:rFonts w:ascii="Calibri" w:cs="Calibri" w:eastAsia="Calibri" w:hAnsi="Calibri"/>
          <w:b w:val="false"/>
          <w:bCs w:val="false"/>
          <w:color w:val="20293A"/>
          <w:sz w:val="19"/>
          <w:szCs w:val="19"/>
        </w:rPr>
        <w:t xml:space="preserve">4.5 ADR-005 — Inferensi AI Berdaulat</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9</w:t>
      </w:r>
    </w:p>
    <w:p>
      <w:pPr>
        <w:tabs>
          <w:tab w:val="right" w:pos="9026" w:leader="dot"/>
        </w:tabs>
        <w:spacing w:after="30" w:line="264"/>
        <w:ind w:left="340"/>
      </w:pPr>
      <w:r>
        <w:rPr>
          <w:rFonts w:ascii="Calibri" w:cs="Calibri" w:eastAsia="Calibri" w:hAnsi="Calibri"/>
          <w:b w:val="false"/>
          <w:bCs w:val="false"/>
          <w:color w:val="20293A"/>
          <w:sz w:val="19"/>
          <w:szCs w:val="19"/>
        </w:rPr>
        <w:t xml:space="preserve">4.6 ADR-006 — Tulang Punggung Peristiwa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10</w:t>
      </w:r>
    </w:p>
    <w:p>
      <w:pPr>
        <w:tabs>
          <w:tab w:val="right" w:pos="9026" w:leader="dot"/>
        </w:tabs>
        <w:spacing w:after="60" w:line="264"/>
        <w:ind w:left="0"/>
      </w:pPr>
      <w:r>
        <w:rPr>
          <w:rFonts w:ascii="Calibri" w:cs="Calibri" w:eastAsia="Calibri" w:hAnsi="Calibri"/>
          <w:b/>
          <w:bCs/>
          <w:color w:val="13366B"/>
          <w:sz w:val="20"/>
          <w:szCs w:val="20"/>
        </w:rPr>
        <w:t xml:space="preserve">5. KAPASITAS &amp; SIZING</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11</w:t>
      </w:r>
    </w:p>
    <w:p>
      <w:pPr>
        <w:tabs>
          <w:tab w:val="right" w:pos="9026" w:leader="dot"/>
        </w:tabs>
        <w:spacing w:after="60" w:line="264"/>
        <w:ind w:left="0"/>
      </w:pPr>
      <w:r>
        <w:rPr>
          <w:rFonts w:ascii="Calibri" w:cs="Calibri" w:eastAsia="Calibri" w:hAnsi="Calibri"/>
          <w:b/>
          <w:bCs/>
          <w:color w:val="13366B"/>
          <w:sz w:val="20"/>
          <w:szCs w:val="20"/>
        </w:rPr>
        <w:t xml:space="preserve">6. LINGKUNGAN &amp; PENGGELARAN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12</w:t>
      </w:r>
    </w:p>
    <w:p>
      <w:pPr>
        <w:tabs>
          <w:tab w:val="right" w:pos="9026" w:leader="dot"/>
        </w:tabs>
        <w:spacing w:after="60" w:line="264"/>
        <w:ind w:left="0"/>
      </w:pPr>
      <w:r>
        <w:rPr>
          <w:rFonts w:ascii="Calibri" w:cs="Calibri" w:eastAsia="Calibri" w:hAnsi="Calibri"/>
          <w:b/>
          <w:bCs/>
          <w:color w:val="13366B"/>
          <w:sz w:val="20"/>
          <w:szCs w:val="20"/>
        </w:rPr>
        <w:t xml:space="preserve">7. IMPLEMENTASI KEAMANAN TEKNIS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13</w:t>
      </w:r>
    </w:p>
    <w:p>
      <w:pPr>
        <w:tabs>
          <w:tab w:val="right" w:pos="9026" w:leader="dot"/>
        </w:tabs>
        <w:spacing w:after="60" w:line="264"/>
        <w:ind w:left="0"/>
      </w:pPr>
      <w:r>
        <w:rPr>
          <w:rFonts w:ascii="Calibri" w:cs="Calibri" w:eastAsia="Calibri" w:hAnsi="Calibri"/>
          <w:b/>
          <w:bCs/>
          <w:color w:val="13366B"/>
          <w:sz w:val="20"/>
          <w:szCs w:val="20"/>
        </w:rPr>
        <w:t xml:space="preserve">8. STANDAR PENGEMBANGAN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14</w:t>
      </w:r>
    </w:p>
    <w:p>
      <w:pPr>
        <w:tabs>
          <w:tab w:val="right" w:pos="9026" w:leader="dot"/>
        </w:tabs>
        <w:spacing w:after="60" w:line="264"/>
        <w:ind w:left="0"/>
      </w:pPr>
      <w:r>
        <w:rPr>
          <w:rFonts w:ascii="Calibri" w:cs="Calibri" w:eastAsia="Calibri" w:hAnsi="Calibri"/>
          <w:b/>
          <w:bCs/>
          <w:color w:val="13366B"/>
          <w:sz w:val="20"/>
          <w:szCs w:val="20"/>
        </w:rPr>
        <w:t xml:space="preserve">9. OBSERVABILITY</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15</w:t>
      </w:r>
    </w:p>
    <w:p>
      <w:pPr>
        <w:tabs>
          <w:tab w:val="right" w:pos="9026" w:leader="dot"/>
        </w:tabs>
        <w:spacing w:after="60" w:line="264"/>
        <w:ind w:left="0"/>
      </w:pPr>
      <w:r>
        <w:rPr>
          <w:rFonts w:ascii="Calibri" w:cs="Calibri" w:eastAsia="Calibri" w:hAnsi="Calibri"/>
          <w:b/>
          <w:bCs/>
          <w:color w:val="13366B"/>
          <w:sz w:val="20"/>
          <w:szCs w:val="20"/>
        </w:rPr>
        <w:t xml:space="preserve">10. MATRIKS KETERTELUSURAN NFR → KEPUTUSAN TEKNIS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16</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17</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Technical Requirement Specification (TRS)</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DOK-04</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Batch</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B2 — Spesifikasi Rinci</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Bergantung Pada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DOK-02 (SRS) · DOK-03 (FRS) — keduanya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Menjadi Dasar Bagi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DOK-07 (Schema) · DOK-15 (API) · DOK-16 (Microservice) · DOK-26–33 (Keamanan &amp; Rekayasa)</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kandidat tumpukan teknologi.</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22 komponen teknologi, 6 architecture decision record, sizing kapasitas, 6 lingkungan, implementasi 35 kebutuhan keamanan.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PENDAHULUAN</w:t>
      </w:r>
    </w:p>
    <w:p>
      <w:pPr>
        <w:spacing w:after="120" w:line="276"/>
        <w:jc w:val="both"/>
      </w:pPr>
      <w:r>
        <w:rPr>
          <w:rFonts w:ascii="Calibri" w:cs="Calibri" w:eastAsia="Calibri" w:hAnsi="Calibri"/>
          <w:color w:val="20293A"/>
          <w:sz w:val="21"/>
          <w:szCs w:val="21"/>
        </w:rPr>
        <w:t xml:space="preserve">Dokumen ini menetapkan bagaimana kebutuhan pada DOK-02 dan DOK-03 diwujudkan secara teknis: teknologi apa yang dipakai, mengapa, dan apa konsekuensi yang diterima. Bagian terpenting bukan daftar teknologinya, melainkan Bab 4 — enam keputusan arsitektur yang mencatat alternatif yang ditolak beserta alasannya.</w:t>
      </w:r>
    </w:p>
    <w:p>
      <w:pPr>
        <w:spacing w:after="80"/>
      </w:pPr>
    </w:p>
    <w:p>
      <w:pPr>
        <w:spacing w:after="120" w:line="276"/>
        <w:jc w:val="both"/>
      </w:pPr>
      <w:r>
        <w:rPr>
          <w:rFonts w:ascii="Calibri" w:cs="Calibri" w:eastAsia="Calibri" w:hAnsi="Calibri"/>
          <w:b/>
          <w:bCs/>
          <w:color w:val="20293A"/>
          <w:sz w:val="21"/>
          <w:szCs w:val="21"/>
        </w:rPr>
        <w:t xml:space="preserve">Alasannya sederhana: dalam dua tahun, seseorang akan bertanya mengapa platform ini memakai PostgreSQL alih-alih Oracle, atau mengapa alur kerja dieksekusi dari BPMN alih-alih ditulis dalam kode. Bila jawabannya tidak tertulis, keputusan itu akan dibatalkan oleh orang yang tidak mengetahui apa yang sedang dipertaruhkan.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Batasan yang Membentuk Seluruh Arsitektur</w:t>
            </w:r>
          </w:p>
          <w:p>
            <w:pPr>
              <w:spacing w:after="40" w:line="264"/>
              <w:jc w:val="both"/>
            </w:pPr>
            <w:r>
              <w:rPr>
                <w:rFonts w:ascii="Calibri" w:cs="Calibri" w:eastAsia="Calibri" w:hAnsi="Calibri"/>
                <w:color w:val="20293A"/>
                <w:sz w:val="19"/>
                <w:szCs w:val="19"/>
              </w:rPr>
              <w:t xml:space="preserve">Tiga kebutuhan membatasi hampir setiap pilihan teknis di dokumen ini. BR-005 mengharuskan seluruh data dan pemrosesan — termasuk inferensi AI — berada dalam yurisdiksi Indonesia. NFR-030 mengharuskan platform dapat digelar penuh on-premise. SEC-014 mengharuskan jejak audit tidak dapat diubah oleh siapa pun, termasuk administrator basis data.</w:t>
            </w:r>
          </w:p>
          <w:p>
            <w:pPr>
              <w:spacing w:after="40" w:line="264"/>
              <w:jc w:val="both"/>
            </w:pPr>
            <w:r>
              <w:rPr>
                <w:rFonts w:ascii="Calibri" w:cs="Calibri" w:eastAsia="Calibri" w:hAnsi="Calibri"/>
                <w:color w:val="20293A"/>
                <w:sz w:val="19"/>
                <w:szCs w:val="19"/>
              </w:rPr>
              <w:t xml:space="preserve">Ketiganya menutup pintu bagi sebagian besar layanan cloud terkelola dan bagi model AI komersial lintas negara — betapapun unggulnya. Ini bukan konservatisme; ini konsekuensi langsung dari sifat data yang dikelola platform.</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TUMPUKAN TEKNOLOGI</w:t>
      </w:r>
    </w:p>
    <w:p>
      <w:pPr>
        <w:spacing w:after="120" w:line="276"/>
        <w:jc w:val="both"/>
      </w:pPr>
      <w:r>
        <w:rPr>
          <w:rFonts w:ascii="Calibri" w:cs="Calibri" w:eastAsia="Calibri" w:hAnsi="Calibri"/>
          <w:color w:val="20293A"/>
          <w:sz w:val="21"/>
          <w:szCs w:val="21"/>
        </w:rPr>
        <w:t xml:space="preserve">Setiap pilihan di bawah disertai alasan dan kebutuhan yang ditopangnya. Teknologi tanpa kebutuhan yang jelas tidak dicantumkan — setiap komponen tambahan adalah beban operasional yang harus dibayar setiap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895"/>
        <w:gridCol w:w="4152"/>
        <w:gridCol w:w="1806"/>
      </w:tblGrid>
      <w:tr>
        <w:trPr>
          <w:tblHeader/>
        </w:trPr>
        <w:tc>
          <w:tcPr>
            <w:tcW w:type="dxa" w:w="117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Lapisan</w:t>
            </w:r>
          </w:p>
        </w:tc>
        <w:tc>
          <w:tcPr>
            <w:tcW w:type="dxa" w:w="189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Teknologi</w:t>
            </w:r>
          </w:p>
        </w:tc>
        <w:tc>
          <w:tcPr>
            <w:tcW w:type="dxa" w:w="415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Alasan Pemilihan</w:t>
            </w:r>
          </w:p>
        </w:tc>
        <w:tc>
          <w:tcPr>
            <w:tcW w:type="dxa" w:w="180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Menopang</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Antarmuka</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React 18 + TypeScript 5</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Ekosistem komponen terluas, dukungan aksesibilitas matang, ketersediaan talenta di Indonesia tinggi.</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NFR-024, NFR-025</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Antarmuka</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Next.js 14 (App Router)</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Server-side rendering untuk waktu muat awal, routing terstruktur, dan dukungan PWA bawaan.</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NFR-001, NFR-026</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Antarmuka</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Tailwind CSS + design token</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Token warna, tipografi, dan jarak terpusat — dasar mode terang/gelap dan konsistensi lintas 17 modul.</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BR-004, NFR-023</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Antarmuka</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Workbox (Service Worker)</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Kemampuan luring untuk pengisian CSA di lapangan.</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NFR-026, FR-ICF-021</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Layanan Domain</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Java 21 LTS + Spring Boot 3.3</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Dukungan jangka panjang, ekosistem perbankan matang, talenta melimpah, dan integrasi mudah dengan sistem inti bank yang umumnya berbasis JVM.</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NFR-027, NFR-030</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Layanan AI</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Python 3.12 + FastAPI</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Ekosistem AI/ML native. Dipisahkan dari layanan domain agar siklus rilis model tidak mengganggu layanan inti.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AIR-001 s.d. 012</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Mesin Alur Kerja</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Camunda 8 (Self-Managed)</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Mengeksekusi BPMN 2.0 secara langsung. Diagram BPMN pada DOK-08 menjadi artefak yang dieksekusi, bukan gambar yang disalin ulang ke dalam kode.</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NFR-028, DOK-08</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API Gateway</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Kong Gateway (OSS)</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Autentikasi, otorisasi, rate limiting, dan audit ingress terpusat pada satu titik masuk.</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SEC-007, SEC-020</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Pesan &amp; Peristiwa</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Apache Kafka</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Arsitektur event-driven (Prinsip P-05); menopang jejak audit, notifikasi, dan integrasi asinkron tanpa kopling ketat.</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P-05, SEC-013</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Basis Data</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PostgreSQL 16</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Partisi native per periode, dukungan JSONB, ekstensi pgvector, lisensi terbuka, dan kemampuan on-premise penuh.</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NFR-009, NFR-030</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Basis Data Vektor</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pgvector (ekstensi PostgreSQL)</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Menghindari komponen tambahan. RAG berjalan di atas basis data yang sudah dikelola, sehingga hak akses dan enkripsi mengikuti kebijakan yang sama.</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AIR-004, AIR-011</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Penyimpanan Objek</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MinIO (S3-compatible) + Object Lock</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Penyimpanan bukti dan arsip immutable (WORM) untuk jejak audit dan snapshot periode.</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SEC-015, BRL-008, BRL-011</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Pencarian</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OpenSearch 2.x</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Pencarian teks penuh lintas dokumen termasuk hasil OCR.</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FR-DMS-003, NFR-006</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Cache &amp; Sesi</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Redis 7</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Cache kueri dasbor dan penyimpanan sesi tersentral.</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NFR-001, SEC-033</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Identitas</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Keycloak</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Broker identitas SAML 2.0 / OIDC terhadap Active Directory Bank; MFA, device binding, dan manajemen token.</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SEC-001 s.d. 004</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Rahasia &amp; Kunci</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HashiCorp Vault + HSM Bank</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Kunci enkripsi dan sertifikat tanda tangan digital tidak pernah berada di kode atau berkas konfigurasi.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SEC-012, SEC-029</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OCR</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PaddleOCR</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Akurasi baik pada dokumen berbahasa Indonesia hasil pindaian; dapat berjalan on-premise.</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FR-DMS-003</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Pembangkit Dokumen</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Apache POI + OpenPDF</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Ekspor laporan ke Word, Excel, PowerPoint, dan PDF dengan template bermerek Bank.</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FR-RPT-005</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Orkestrasi</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Kubernetes (atau OpenShift)</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Penskalaan horizontal tanpa henti layanan; dapat digelar on-premise maupun sovereign cloud.</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NFR-011, NFR-030</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CI/CD</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GitLab CI + Argo CD</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Pipeline dengan gerbang keamanan wajib; penggelaran GitOps yang dapat diaudit.</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SEC-030, DOK-30</w:t>
            </w:r>
          </w:p>
        </w:tc>
      </w:tr>
      <w:tr>
        <w:tc>
          <w:tcPr>
            <w:tcW w:type="dxa" w:w="117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Observability</w:t>
            </w:r>
          </w:p>
        </w:tc>
        <w:tc>
          <w:tcPr>
            <w:tcW w:type="dxa" w:w="189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OpenTelemetry → Prometheus, Grafana, Loki, Tempo</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Log terstruktur, metrik, dan distributed tracing lintas seluruh layanan.</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NFR-029</w:t>
            </w:r>
          </w:p>
        </w:tc>
      </w:tr>
      <w:tr>
        <w:tc>
          <w:tcPr>
            <w:tcW w:type="dxa" w:w="117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Model AI</w:t>
            </w:r>
          </w:p>
        </w:tc>
        <w:tc>
          <w:tcPr>
            <w:tcW w:type="dxa" w:w="189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5"/>
                <w:szCs w:val="15"/>
              </w:rPr>
              <w:t xml:space="preserve">Model bahasa besar yang digelar berdaulat (on-premise GPU atau sovereign cloud Indonesia)</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Kepatuhan terhadap BR-005 dan AIR-001. Antarmuka model diabstraksi agar model dapat diganti tanpa mengubah layanan domain.</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BR-005, AIR-001, AIR-002</w:t>
            </w:r>
          </w:p>
        </w:tc>
      </w:tr>
    </w:tbl>
    <w:p>
      <w:pPr>
        <w:spacing w:after="180" w:before="60"/>
        <w:jc w:val="left"/>
      </w:pPr>
      <w:r>
        <w:rPr>
          <w:rFonts w:ascii="Calibri" w:cs="Calibri" w:eastAsia="Calibri" w:hAnsi="Calibri"/>
          <w:i/>
          <w:iCs/>
          <w:color w:val="5C6B7E"/>
          <w:sz w:val="17"/>
          <w:szCs w:val="17"/>
        </w:rPr>
        <w:t xml:space="preserve">Tabel 2 — 22 komponen tumpukan teknologi.</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KOMPONEN ARSITEKTUR</w:t>
      </w:r>
    </w:p>
    <w:p>
      <w:pPr>
        <w:spacing w:after="120" w:line="276"/>
        <w:jc w:val="both"/>
      </w:pPr>
      <w:r>
        <w:rPr>
          <w:rFonts w:ascii="Calibri" w:cs="Calibri" w:eastAsia="Calibri" w:hAnsi="Calibri"/>
          <w:color w:val="20293A"/>
          <w:sz w:val="21"/>
          <w:szCs w:val="21"/>
        </w:rPr>
        <w:t xml:space="preserve">Komponen berikut memetakan arsitektur lima lapis (DOK-02 §2.2) menjadi unit yang benar-benar digelar. Kolom "Skala Awal" adalah titik mulai, bukan batas — penskalaan horizontal tanpa henti layanan disyaratkan NFR-011.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076"/>
        <w:gridCol w:w="1534"/>
        <w:gridCol w:w="3430"/>
        <w:gridCol w:w="1354"/>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Lapis</w:t>
            </w:r>
          </w:p>
        </w:tc>
        <w:tc>
          <w:tcPr>
            <w:tcW w:type="dxa" w:w="207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Komponen</w:t>
            </w:r>
          </w:p>
        </w:tc>
        <w:tc>
          <w:tcPr>
            <w:tcW w:type="dxa" w:w="153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Teknologi</w:t>
            </w:r>
          </w:p>
        </w:tc>
        <w:tc>
          <w:tcPr>
            <w:tcW w:type="dxa" w:w="343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Tanggung Jawab</w:t>
            </w:r>
          </w:p>
        </w:tc>
        <w:tc>
          <w:tcPr>
            <w:tcW w:type="dxa" w:w="135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4"/>
                <w:szCs w:val="14"/>
              </w:rPr>
              <w:t xml:space="preserve">Skala Awal</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L1</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Web PWA</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Next.js / React</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Antarmuka responsif, mode terang/gelap, luring untuk CSA.</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L2</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API Gateway</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Kong</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Titik masuk tunggal: autentikasi, otorisasi, rate limit, audit ingress.</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L2</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Web Application Firewall</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ModSecurity / WAF Bank</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Proteksi OWASP Top 10 sebelum lalu lintas mencapai gateway.</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Perangkat jaringan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Domain ICOFR</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Materialitas, akun, BPM, RCM, CSA, ToD/ToE, defisiensi, atestasi.</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3 pod</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Domain Risiko &amp; Kepatuhan</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ERM, ORM, KRI, LED, INC, CMP, POL.</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Domain Audit &amp; Tata Kelola</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IAD, GOV, action tracker terpadu.</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Dokumen</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Unggah, hash, versi, watermark, OCR, retensi.</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Pelaporan</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 + Apache POI</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Pembangkit laporan OJK, Direksi, Komite Audit; ekspor multi-format.</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Mesin Alur Kerja</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Camunda 8</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Eksekusi BPMN, SLA, eskalasi, penugasan.</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Layanan Notifikasi</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Spring Boot</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Surel, notifikasi dalam aplikasi, push PWA.</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L3</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AI Orchestrator</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Python / FastAPI</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RAG, redaksi PII, proteksi prompt injection, antrean persetujuan manusia.</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 + GPU</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L4</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Basis Data Utama</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PostgreSQL 16</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Data transaksional &amp; referensial; partisi per periode; pgvector.</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Primary + 2 replika</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L4</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Penyimpanan Objek</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MinIO + Object Lock</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Bukti, kertas kerja, arsip immutable (WORM), snapshot periode.</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Kluster 4 node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L4</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Indeks Pencarian</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OpenSearch</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Pencarian teks penuh lintas dokumen dan hasil OCR.</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Kluster 3 node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L4</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Cache &amp; Sesi</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Redis</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Cache dasbor, sesi, rate limit counter.</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Sentinel 3 node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L4</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Broker Peristiwa</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Apache Kafka</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Peristiwa domain, jejak audit, integrasi asinkron.</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Kluster 3 broker</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L5</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Identitas</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Keycloak</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Broker SSO ke AD Bank; MFA; token berumur pendek.</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2 pod</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L5</w:t>
            </w:r>
          </w:p>
        </w:tc>
        <w:tc>
          <w:tcPr>
            <w:tcW w:type="dxa" w:w="207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Rahasia &amp; Kunci</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Vault + HSM Bank</w:t>
            </w:r>
          </w:p>
        </w:tc>
        <w:tc>
          <w:tcPr>
            <w:tcW w:type="dxa" w:w="343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Kunci enkripsi, sertifikat tanda tangan digital.</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Kluster 3 node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L5</w:t>
            </w:r>
          </w:p>
        </w:tc>
        <w:tc>
          <w:tcPr>
            <w:tcW w:type="dxa" w:w="207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4"/>
                <w:szCs w:val="14"/>
              </w:rPr>
              <w:t xml:space="preserve">Observability</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Prometheus, Grafana, Loki, Tempo</w:t>
            </w:r>
          </w:p>
        </w:tc>
        <w:tc>
          <w:tcPr>
            <w:tcW w:type="dxa" w:w="343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Metrik, log terstruktur, distributed tracing.</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4"/>
                <w:szCs w:val="14"/>
              </w:rPr>
              <w:t xml:space="preserve">Kluster terpisah</w:t>
            </w:r>
          </w:p>
        </w:tc>
      </w:tr>
    </w:tbl>
    <w:p>
      <w:pPr>
        <w:spacing w:after="180" w:before="60"/>
        <w:jc w:val="left"/>
      </w:pPr>
      <w:r>
        <w:rPr>
          <w:rFonts w:ascii="Calibri" w:cs="Calibri" w:eastAsia="Calibri" w:hAnsi="Calibri"/>
          <w:i/>
          <w:iCs/>
          <w:color w:val="5C6B7E"/>
          <w:sz w:val="17"/>
          <w:szCs w:val="17"/>
        </w:rPr>
        <w:t xml:space="preserve">Tabel 3 — Komponen penggelaran. Dekomposisi layanan lengkap ditetapkan pada DOK-16.</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ARCHITECTURE DECISION RECORD</w:t>
      </w:r>
    </w:p>
    <w:p>
      <w:pPr>
        <w:spacing w:after="120" w:line="276"/>
        <w:jc w:val="both"/>
      </w:pPr>
      <w:r>
        <w:rPr>
          <w:rFonts w:ascii="Calibri" w:cs="Calibri" w:eastAsia="Calibri" w:hAnsi="Calibri"/>
          <w:color w:val="20293A"/>
          <w:sz w:val="21"/>
          <w:szCs w:val="21"/>
        </w:rPr>
        <w:t xml:space="preserve">Enam keputusan berikut adalah keputusan yang mahal untuk dibatalkan. Masing-masing dicatat dengan konteks, keputusan, alternatif yang ditolak, dan konsekuensi yang diterima — termasuk konsekuensi negatifnya, karena keputusan arsitektur yang hanya memiliki sisi positif biasanya belum dipikirkan cukup dalam.</w:t>
      </w:r>
    </w:p>
    <w:p>
      <w:pPr>
        <w:spacing w:after="160"/>
      </w:pPr>
    </w:p>
    <w:p>
      <w:pPr>
        <w:pStyle w:val="Heading2"/>
        <w:spacing w:after="120" w:before="260"/>
      </w:pPr>
      <w:r>
        <w:rPr>
          <w:rFonts w:ascii="Cambria" w:cs="Cambria" w:eastAsia="Cambria" w:hAnsi="Cambria"/>
          <w:b/>
          <w:bCs/>
          <w:color w:val="1B4A8A"/>
          <w:sz w:val="24"/>
          <w:szCs w:val="24"/>
        </w:rPr>
        <w:t xml:space="preserve">4.1 ADR-001 — Basis Data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Platform membutuhkan basis data transaksional yang mendukung partisi per periode buku (untuk penguncian pasca-atestasi), tipe data semi-terstruktur (jawaban CSA yang skemanya berubah antar siklus), pencarian vektor untuk RAG, dan kemampuan digelar penuh on-premise tanpa biaya lisensi yang membengkak seiring jumlah inti prosesor.</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PostgreSQL 16 sebagai basis data utama, dengan partisi deklaratif per periode, JSONB untuk atribut fleksibel, dan ekstensi pgvector untuk RAG.</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Oracle Database — sudah dipakai di banyak bank dan dikuasai tim DBA; namun biaya lisensi per inti membuat penskalaan horizontal (NFR-011) menjadi mahal, dan pgvector tidak memiliki padanan langsung. Microsoft SQL Server — pertimbangan serupa. MongoDB — tidak memenuhi kebutuhan ACID lintas entitas (NFR-017).</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biaya lisensi nihil, partisi native, satu basis data untuk relasional dan vektor. Negatif: tim DBA Bank mungkin memerlukan pelatihan; dukungan komersial perlu dikontrak terpisah. Mitigasi: lapisan akses data diabstraksi sehingga migrasi ke Oracle tetap mungkin bila kebijakan TI Bank mensyaratkannya.</w:t>
            </w:r>
          </w:p>
        </w:tc>
      </w:tr>
    </w:tbl>
    <w:p>
      <w:pPr>
        <w:spacing w:after="200"/>
      </w:pPr>
    </w:p>
    <w:p>
      <w:pPr>
        <w:pStyle w:val="Heading2"/>
        <w:spacing w:after="120" w:before="260"/>
      </w:pPr>
      <w:r>
        <w:rPr>
          <w:rFonts w:ascii="Cambria" w:cs="Cambria" w:eastAsia="Cambria" w:hAnsi="Cambria"/>
          <w:b/>
          <w:bCs/>
          <w:color w:val="1B4A8A"/>
          <w:sz w:val="24"/>
          <w:szCs w:val="24"/>
        </w:rPr>
        <w:t xml:space="preserve">4.2 ADR-002 — Mesin BPMN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Alur kerja ICOFR (16 langkah), kebijakan, insiden, dan audit akan didokumentasikan sebagai BPMN 2.0 pada DOK-08. Pada sebagian besar proyek, diagram BPMN adalah dokumentasi yang kemudian diterjemahkan manual menjadi kode — dan sejak saat itu keduanya mulai menyimpang.</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Memakai mesin alur kerja yang mengeksekusi BPMN 2.0 secara native (Camunda 8 Self-Managed). Berkas BPMN yang sama menjadi dokumentasi sekaligus artefak yang dijalankan.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Alur kerja ditulis langsung dalam kode (state machine buatan sendiri) — lebih cepat pada awalnya, namun melanggar NFR-028 (konfigurasi tanpa penggelaran ulang) dan memastikan dokumentasi menyimpang dari perilaku sistem. Flowable / jBPM — setara secara fungsional; Camunda 8 dipilih karena dukungan dan ekosistem yang lebih luas.</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dokumentasi proses tidak dapat berbohong, karena ia adalah yang dieksekusi. Perubahan SLA dan alur persetujuan menjadi konfigurasi, bukan rilis kode. Negatif: menambah satu komponen infrastruktur; tim perlu menguasai BPMN. Konsekuensi ini diterima karena manfaat auditabilitasnya langsung menopang POJK 15/2024.</w:t>
            </w:r>
          </w:p>
        </w:tc>
      </w:tr>
    </w:tbl>
    <w:p>
      <w:pPr>
        <w:spacing w:after="200"/>
      </w:pPr>
    </w:p>
    <w:p>
      <w:pPr>
        <w:pStyle w:val="Heading2"/>
        <w:spacing w:after="120" w:before="260"/>
      </w:pPr>
      <w:r>
        <w:rPr>
          <w:rFonts w:ascii="Cambria" w:cs="Cambria" w:eastAsia="Cambria" w:hAnsi="Cambria"/>
          <w:b/>
          <w:bCs/>
          <w:color w:val="1B4A8A"/>
          <w:sz w:val="24"/>
          <w:szCs w:val="24"/>
        </w:rPr>
        <w:t xml:space="preserve">4.3 ADR-003 — Jejak Audit Hash-Chain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SEC-014 mensyaratkan bahwa tidak ada peran — termasuk Super Admin dan DBA — yang dapat mengubah atau menghapus jejak audit. Ini tidak dapat dipenuhi hanya dengan hak akses basis data, karena DBA menurut definisi memiliki akses penuh ke basis data.</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Tabel jejak audit bersifat append-only (INSERT saja; UPDATE dan DELETE dicabut pada tingkat basis data). Setiap entri memuat hash SHA-256 dari isinya digabung hash entri sebelumnya, membentuk rantai. Rantai diverifikasi berkala. Setiap blok entri direplikasi ke MinIO dengan Object Lock (mode compliance) yang tidak dapat dihapus siapa pun sampai masa retensi berakhir.</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Hanya mengandalkan hak akses basis data — tidak memadai (DBA dapat menimpanya). Blockchain/DLT penuh — kompleksitas operasional tidak sebanding dengan manfaat pada konteks satu entitas. Menulis log ke SIEM saja — SIEM adalah sistem terpisah dengan retensi lebih pendek dan bukan sumber kebenaran.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perubahan diam-diam terdeteksi melalui verifikasi rantai; salinan WORM memberi bukti independen. Negatif: penulisan audit sedikit lebih lambat; ukuran penyimpanan bertambah. Verifikasi rantai menjadi kriteria penerimaan TAC-07.</w:t>
            </w:r>
          </w:p>
        </w:tc>
      </w:tr>
    </w:tbl>
    <w:p>
      <w:pPr>
        <w:spacing w:after="200"/>
      </w:pPr>
    </w:p>
    <w:p>
      <w:pPr>
        <w:pStyle w:val="Heading2"/>
        <w:spacing w:after="120" w:before="260"/>
      </w:pPr>
      <w:r>
        <w:rPr>
          <w:rFonts w:ascii="Cambria" w:cs="Cambria" w:eastAsia="Cambria" w:hAnsi="Cambria"/>
          <w:b/>
          <w:bCs/>
          <w:color w:val="1B4A8A"/>
          <w:sz w:val="24"/>
          <w:szCs w:val="24"/>
        </w:rPr>
        <w:t xml:space="preserve">4.4 ADR-004 — Topologi Penggelaran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Prinsip P-08 menetapkan arsitektur berbasis domain. Namun memulai dengan belasan layanan mikro terpisah pada tim yang belum berpengalaman dengan sistem terdistribusi umumnya menghasilkan kompleksitas operasional yang mendahului manfaatnya — sementara beban nyata platform (2.000 pengguna, 500 serentak) tidak menuntutnya sejak hari pertama.</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Batas domain ditegakkan sejak awal pada tingkat kode (modul terpisah, tanpa akses lintas skema basis data, komunikasi melalui antarmuka yang eksplisit). Penggelaran Rilis 1 sebagai monolit modular. Layanan dipisahkan menjadi proses mandiri ketika ada alasan nyata: kebutuhan penskalaan berbeda, siklus rilis berbeda, atau isolasi kegagalan. Layanan AI Orchestrator dipisahkan sejak awal karena ketiganya terpenuhi.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Layanan mikro penuh sejak Rilis 1 — konsisten dengan P-08 secara harfiah, namun menambah biaya operasional (service mesh, distributed tracing, saga) sebelum manfaatnya dibutuhkan. Monolit tanpa batas modul — berisiko menghasilkan kopling yang mustahil diurai kemudian.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kecepatan pengembangan Rilis 1 lebih tinggi; risiko sistem terdistribusi ditunda hingga tim siap. Negatif: disiplin batas modul harus ditegakkan melalui pemeriksaan otomatis di pipeline (ArchUnit), bukan melalui niat baik. DOK-16 menetapkan dekomposisi target dan urutan pemisahannya.</w:t>
            </w:r>
          </w:p>
        </w:tc>
      </w:tr>
    </w:tbl>
    <w:p>
      <w:pPr>
        <w:spacing w:after="200"/>
      </w:pPr>
    </w:p>
    <w:p>
      <w:pPr>
        <w:pStyle w:val="Heading2"/>
        <w:spacing w:after="120" w:before="260"/>
      </w:pPr>
      <w:r>
        <w:rPr>
          <w:rFonts w:ascii="Cambria" w:cs="Cambria" w:eastAsia="Cambria" w:hAnsi="Cambria"/>
          <w:b/>
          <w:bCs/>
          <w:color w:val="1B4A8A"/>
          <w:sz w:val="24"/>
          <w:szCs w:val="24"/>
        </w:rPr>
        <w:t xml:space="preserve">4.5 ADR-005 — Inferensi AI Berdaulat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BR-005 dan AIR-001 mensyaratkan seluruh pemrosesan berada dalam yurisdiksi Indonesia. AIR-002 melarang data Bank dipakai melatih ulang model. Data yang diproses AI mencakup dokumentasi pengendalian internal — yang pada hakikatnya adalah peta kelemahan Bank (risiko RB-06).</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Model bahasa digelar pada infrastruktur berdaulat: GPU on-premise Bank atau penyedia cloud yang menjamin residensi data di Indonesia. Antarmuka model diabstraksi (adapter) sehingga model dapat diganti tanpa mengubah layanan domain. Layanan AI tidak memiliki akses langsung ke basis data — ia mengakses data melalui API yang menghormati RBAC/ABAC penanya (AIR-011).</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API model komersial lintas negara — kualitas mungkin lebih tinggi, namun melanggar BR-005 secara langsung dan mengirim peta kelemahan Bank ke luar yurisdiksi. Tidak dapat diterima terlepas dari jaminan kontraktual apa pun.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kepatuhan tanpa kompromi; kendali penuh atas data. Negatif: kualitas model mungkin di bawah model komersial terdepan; biaya GPU menjadi beban modal. Mitigasi: abstraksi adapter memungkinkan peningkatan model tanpa perubahan arsitektur.</w:t>
            </w:r>
          </w:p>
        </w:tc>
      </w:tr>
    </w:tbl>
    <w:p>
      <w:pPr>
        <w:spacing w:after="200"/>
      </w:pPr>
    </w:p>
    <w:p>
      <w:pPr>
        <w:pStyle w:val="Heading2"/>
        <w:spacing w:after="120" w:before="260"/>
      </w:pPr>
      <w:r>
        <w:rPr>
          <w:rFonts w:ascii="Cambria" w:cs="Cambria" w:eastAsia="Cambria" w:hAnsi="Cambria"/>
          <w:b/>
          <w:bCs/>
          <w:color w:val="1B4A8A"/>
          <w:sz w:val="24"/>
          <w:szCs w:val="24"/>
        </w:rPr>
        <w:t xml:space="preserve">4.6 ADR-006 — Tulang Punggung Peristiwa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Disetujui</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Konteks</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Satu tindakan bisnis memicu banyak konsekuensi: kesimpulan ToE dengan eksepsi memicu pembentukan defisiensi, memperbarui agregasi, memperbarui risiko residual, memperbarui skor ICOFR, membentuk CAPA di action tracker, dan mengirim notifikasi. Menjadikan semuanya panggilan sinkron akan membuat penyimpanan satu kesimpulan uji bergantung pada ketersediaan enam komponen.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Keputusan</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Tindakan bisnis mempublikasikan peristiwa domain ke Kafka; konsumen memprosesnya secara asinkron dan idempoten. Jejak audit menjadi konsumen peristiwa yang sama, sehingga tidak ada tindakan yang dapat luput dari pencatatan.</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Alternatif yang Ditolak</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Panggilan sinkron antar modul — sederhana, namun rapuh dan lambat. Tabel outbox tanpa broker — memadai untuk skala kecil, namun tidak mendukung konsumen ganda dengan baik.</w:t>
            </w:r>
          </w:p>
        </w:tc>
      </w:tr>
      <w:tr>
        <w:tc>
          <w:tcPr>
            <w:tcW w:type="dxa" w:w="1625"/>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Konsekuensi</w:t>
            </w:r>
          </w:p>
        </w:tc>
        <w:tc>
          <w:tcPr>
            <w:tcW w:type="dxa" w:w="7401"/>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Positif: ketahanan, penskalaan, dan jejak audit yang lengkap secara struktural. Negatif: konsistensi menjadi eventual — antarmuka harus jujur menampilkan status "sedang diproses" alih-alih berpura-pura sudah selesai.</w:t>
            </w:r>
          </w:p>
        </w:tc>
      </w:tr>
    </w:tbl>
    <w:p>
      <w:pPr>
        <w:spacing w:after="200"/>
      </w:pP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KAPASITAS &amp; SIZING</w:t>
      </w:r>
    </w:p>
    <w:p>
      <w:pPr>
        <w:spacing w:after="120" w:line="276"/>
        <w:jc w:val="both"/>
      </w:pPr>
      <w:r>
        <w:rPr>
          <w:rFonts w:ascii="Calibri" w:cs="Calibri" w:eastAsia="Calibri" w:hAnsi="Calibri"/>
          <w:color w:val="20293A"/>
          <w:sz w:val="21"/>
          <w:szCs w:val="21"/>
        </w:rPr>
        <w:t xml:space="preserve">Angka berikut diturunkan dari NFR pada DOK-02 Bab 4, bukan ditebak. Ia menjadi dasar pengadaan infrastruktur dan dasar uji beban pada DOK-32.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3249"/>
        <w:gridCol w:w="2167"/>
      </w:tblGrid>
      <w:tr>
        <w:trPr>
          <w:tblHeader/>
        </w:trPr>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Parameter</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Nilai</w:t>
            </w:r>
          </w:p>
        </w:tc>
        <w:tc>
          <w:tcPr>
            <w:tcW w:type="dxa" w:w="216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Sumber</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Pengguna bernama</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2.000</w:t>
            </w:r>
          </w:p>
        </w:tc>
        <w:tc>
          <w:tcPr>
            <w:tcW w:type="dxa" w:w="216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NFR-007</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Pengguna serentak (puncak siklus CSA)</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500</w:t>
            </w:r>
          </w:p>
        </w:tc>
        <w:tc>
          <w:tcPr>
            <w:tcW w:type="dxa" w:w="216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NFR-008</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Pengendalian dikelola</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10.000</w:t>
            </w:r>
          </w:p>
        </w:tc>
        <w:tc>
          <w:tcPr>
            <w:tcW w:type="dxa" w:w="216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NFR-009</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Bukti tersimpan (5 tahun pertama)</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20 TB, dapat diperluas</w:t>
            </w:r>
          </w:p>
        </w:tc>
        <w:tc>
          <w:tcPr>
            <w:tcW w:type="dxa" w:w="216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NFR-010</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Transaksi tulis puncak</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 150 TPS</w:t>
            </w:r>
          </w:p>
        </w:tc>
        <w:tc>
          <w:tcPr>
            <w:tcW w:type="dxa" w:w="216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Turunan NFR-003 &amp; NFR-008</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Node aplikasi (produksi)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6 node · 16 vCPU · 64 GB RAM</w:t>
            </w:r>
          </w:p>
        </w:tc>
        <w:tc>
          <w:tcPr>
            <w:tcW w:type="dxa" w:w="216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Turunan NFR-008, NFR-011</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Node basis data (produksi)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3 node · 32 vCPU · 128 GB RAM · NVMe</w:t>
            </w:r>
          </w:p>
        </w:tc>
        <w:tc>
          <w:tcPr>
            <w:tcW w:type="dxa" w:w="216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Turunan NFR-002, NFR-009</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Node GPU (AI, produksi)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2 node · GPU ≥ 48 GB VRAM</w:t>
            </w:r>
          </w:p>
        </w:tc>
        <w:tc>
          <w:tcPr>
            <w:tcW w:type="dxa" w:w="216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Turunan NFR-005, AIR-001</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Bandwidth ke DRC</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 1 Gbps</w:t>
            </w:r>
          </w:p>
        </w:tc>
        <w:tc>
          <w:tcPr>
            <w:tcW w:type="dxa" w:w="216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Turunan NFR-014 (RPO ≤ 15 menit)</w:t>
            </w:r>
          </w:p>
        </w:tc>
      </w:tr>
    </w:tbl>
    <w:p>
      <w:pPr>
        <w:spacing w:after="140"/>
      </w:pPr>
    </w:p>
    <w:p>
      <w:pPr>
        <w:pStyle w:val="Heading2"/>
        <w:spacing w:after="120" w:before="260"/>
      </w:pPr>
      <w:r>
        <w:rPr>
          <w:rFonts w:ascii="Cambria" w:cs="Cambria" w:eastAsia="Cambria" w:hAnsi="Cambria"/>
          <w:b/>
          <w:bCs/>
          <w:color w:val="1B4A8A"/>
          <w:sz w:val="24"/>
          <w:szCs w:val="24"/>
        </w:rPr>
        <w:t xml:space="preserve">Target Kinerja &amp; Mekanisme Pencapaiannya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1444"/>
        <w:gridCol w:w="3791"/>
        <w:gridCol w:w="1444"/>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Target</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Nilai</w:t>
            </w:r>
          </w:p>
        </w:tc>
        <w:tc>
          <w:tcPr>
            <w:tcW w:type="dxa" w:w="379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Mekanisme</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NFR</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Ketersediaan (uptime bulanan)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99,9%</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Redundansi seluruh lapisan; tanpa titik kegagalan tunggal.</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NFR-012, NFR-015</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RTO</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4 jam</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DRC replika panas; prosedur failover diuji setiap semester.</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NFR-013</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RPO</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15 menit</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Replikasi basis data streaming; replikasi objek terjadwal.</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NFR-014</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Waktu muat dasbor (P95, 4G)</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2,5 detik</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SSR + cache Redis + agregat terhitung sebelumnya (materialized view).</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NFR-001</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Waktu respons API baca (P95)</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300 ms</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Indeks pada seluruh kolom filter; partisi per periode.</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NFR-002</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Waktu bangkit Laporan OJK</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60 detik</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Pembangkitan asinkron dengan notifikasi setelah selesai.</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NFR-004</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Waktu tanggap AI (token pertama)</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3 detik</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Streaming respons; pengambilan konteks RAG dibatasi waktu.</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NFR-005</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LINGKUNGAN &amp; PENGGELARAN</w:t>
      </w:r>
    </w:p>
    <w:p>
      <w:pPr>
        <w:spacing w:after="120" w:line="276"/>
        <w:jc w:val="both"/>
      </w:pPr>
      <w:r>
        <w:rPr>
          <w:rFonts w:ascii="Calibri" w:cs="Calibri" w:eastAsia="Calibri" w:hAnsi="Calibri"/>
          <w:color w:val="20293A"/>
          <w:sz w:val="21"/>
          <w:szCs w:val="21"/>
        </w:rPr>
        <w:t xml:space="preserve">Enam lingkungan ditetapkan. Perhatikan bahwa UAT dan STAGING memakai data produksi yang telah dianonimkan — bukan data sintetis. Uji beban dan uji keamanan atas data sintetis yang terlalu rapi akan lulus, lalu gagal di produksi.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2708"/>
        <w:gridCol w:w="1986"/>
        <w:gridCol w:w="1986"/>
        <w:gridCol w:w="1263"/>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Lingkungan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Tujuan</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Data</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Penggelaran</w:t>
            </w:r>
          </w:p>
        </w:tc>
        <w:tc>
          <w:tcPr>
            <w:tcW w:type="dxa" w:w="126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Pemilik</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DEV</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Pengembangan harian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sintetis</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Otomatis dari branch</w:t>
            </w:r>
          </w:p>
        </w:tc>
        <w:tc>
          <w:tcPr>
            <w:tcW w:type="dxa" w:w="126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Tim pengembang</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SIT</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Pengujian integrasi antar layanan &amp; integrasi eksternal (mock)</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sintetis</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Otomatis dari main</w:t>
            </w:r>
          </w:p>
        </w:tc>
        <w:tc>
          <w:tcPr>
            <w:tcW w:type="dxa" w:w="126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Tim QA</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UAT</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Penerimaan pengguna oleh UKK ICOFR, Lini 1, 2, 3</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produksi yang telah dianonimkan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Manual, per rilis kandidat</w:t>
            </w:r>
          </w:p>
        </w:tc>
        <w:tc>
          <w:tcPr>
            <w:tcW w:type="dxa" w:w="126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Product Owner</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STAGING</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Uji beban, uji keamanan, uji DR — setara produksi</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produksi yang telah dianonimkan</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Manual, identik dengan calon produksi</w:t>
            </w:r>
          </w:p>
        </w:tc>
        <w:tc>
          <w:tcPr>
            <w:tcW w:type="dxa" w:w="126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Tim Infrastruktur</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PROD</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Operasional</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produksi</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GitOps dengan persetujuan Change Advisory Board</w:t>
            </w:r>
          </w:p>
        </w:tc>
        <w:tc>
          <w:tcPr>
            <w:tcW w:type="dxa" w:w="126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Tim Operasi</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DRC</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Pemulihan bencana — replika panas</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Replikasi dari PROD</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Sinkron otomatis</w:t>
            </w:r>
          </w:p>
        </w:tc>
        <w:tc>
          <w:tcPr>
            <w:tcW w:type="dxa" w:w="126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Tim Infrastruktur</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Aturan Penggelaran Produksi</w:t>
            </w:r>
          </w:p>
          <w:p>
            <w:pPr>
              <w:spacing w:after="40" w:line="264"/>
              <w:jc w:val="both"/>
            </w:pPr>
            <w:r>
              <w:rPr>
                <w:rFonts w:ascii="Calibri" w:cs="Calibri" w:eastAsia="Calibri" w:hAnsi="Calibri"/>
                <w:color w:val="20293A"/>
                <w:sz w:val="19"/>
                <w:szCs w:val="19"/>
              </w:rPr>
              <w:t xml:space="preserve">Penggelaran ke produksi hanya melalui GitOps dengan persetujuan Change Advisory Board. Tidak ada akses SSH langsung ke node produksi, tidak ada perubahan skema basis data manual, dan tidak ada "perbaikan cepat" yang melewati pipeline. Setiap penggelaran meninggalkan jejak yang dapat diaudit — karena manajemen perubahan TI adalah ITGC yang platform ini sendiri akan diuji terhadapnya.</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IMPLEMENTASI KEAMANAN TEKNIS</w:t>
      </w:r>
    </w:p>
    <w:p>
      <w:pPr>
        <w:spacing w:after="120" w:line="276"/>
        <w:jc w:val="both"/>
      </w:pPr>
      <w:r>
        <w:rPr>
          <w:rFonts w:ascii="Calibri" w:cs="Calibri" w:eastAsia="Calibri" w:hAnsi="Calibri"/>
          <w:color w:val="20293A"/>
          <w:sz w:val="21"/>
          <w:szCs w:val="21"/>
        </w:rPr>
        <w:t xml:space="preserve">Tabel berikut memetakan 35 kebutuhan keamanan (DOK-02 Bab 5) ke implementasi teknisnya. Arsitektur keamanan lengkap dielaborasi pada DOK-26 dan DOK-27.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1264"/>
        <w:gridCol w:w="6498"/>
      </w:tblGrid>
      <w:tr>
        <w:trPr>
          <w:tblHeader/>
        </w:trPr>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Domain</w:t>
            </w:r>
          </w:p>
        </w:tc>
        <w:tc>
          <w:tcPr>
            <w:tcW w:type="dxa" w:w="649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Implementasi Teknis</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SEC-001 s.d. 004</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Identitas</w:t>
            </w:r>
          </w:p>
        </w:tc>
        <w:tc>
          <w:tcPr>
            <w:tcW w:type="dxa" w:w="649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Keycloak sebagai broker OIDC ke Active Directory Bank. Token akses 15 menit; refresh token dapat dicabut terpusat. MFA melalui TOTP atau perangkat yang telah didaftarkan. Sidik perangkat disimpan dan diverifikasi tiap sesi.</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SEC-005 s.d. 008</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Otorisasi</w:t>
            </w:r>
          </w:p>
        </w:tc>
        <w:tc>
          <w:tcPr>
            <w:tcW w:type="dxa" w:w="649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Policy Decision Point terpusat di API Gateway plus pemeriksaan ulang di lapisan layanan — otorisasi tidak boleh hanya bergantung pada gateway. Aturan pemisahan tugas dievaluasi sebagai kebijakan (policy-as-code), bukan tersebar di kode fitur.</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SEC-009 s.d. 012</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Enkripsi</w:t>
            </w:r>
          </w:p>
        </w:tc>
        <w:tc>
          <w:tcPr>
            <w:tcW w:type="dxa" w:w="649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TLS 1.3 pada seluruh lalu lintas, termasuk antar layanan internal (mTLS). Enkripsi data diam AES-256 pada tingkat volume dan tingkat kolom untuk data sensitif. Kunci di Vault; kunci induk di HSM Bank; rotasi terjadwal.</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SEC-013 s.d. 016</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Jejak Audit</w:t>
            </w:r>
          </w:p>
        </w:tc>
        <w:tc>
          <w:tcPr>
            <w:tcW w:type="dxa" w:w="649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Tabel append-only; hak UPDATE dan DELETE dicabut pada tingkat basis data untuk seluruh peran termasuk pemilik skema. Hash-chain SHA-256 diverifikasi setiap malam. Replikasi ke MinIO Object Lock mode compliance.</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SEC-017 s.d. 021</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Aplikasi</w:t>
            </w:r>
          </w:p>
        </w:tc>
        <w:tc>
          <w:tcPr>
            <w:tcW w:type="dxa" w:w="649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OWASP ASVS Level 2 sebagai baseline; Level 3 untuk modul atestasi dan pelaporan OJK. Validasi masukan berbasis skema di sisi server. CSP, HSTS, dan header keamanan diterapkan di gateway.</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SEC-022 s.d. 025</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Data</w:t>
            </w:r>
          </w:p>
        </w:tc>
        <w:tc>
          <w:tcPr>
            <w:tcW w:type="dxa" w:w="649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Pemindaian malware (ClamAV) sebelum berkas disimpan. Watermark dinamis disisipkan saat unduh, bukan saat simpan. Ekspor massal memerlukan persetujuan dan tercatat sebagai kejadian.</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SEC-026 s.d. 028</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Jaringan</w:t>
            </w:r>
          </w:p>
        </w:tc>
        <w:tc>
          <w:tcPr>
            <w:tcW w:type="dxa" w:w="649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Segmentasi: lapisan data tidak memiliki rute ke internet. Kebijakan jaringan Kubernetes menolak lalu lintas antar-pod yang tidak dideklarasikan. WAF di depan seluruh titik masuk.</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SEC-029 s.d. 032</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Operasi</w:t>
            </w:r>
          </w:p>
        </w:tc>
        <w:tc>
          <w:tcPr>
            <w:tcW w:type="dxa" w:w="649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Rahasia hanya dari Vault — pipeline menolak commit yang mengandung kredensial. Gerbang SAST, DAST, SCA, dan pemindaian kontainer bersifat wajib (blocking), bukan informatif. Konfigurasi mengikuti CIS Benchmark. Uji penetrasi independen sebelum go-live dan tahunan.</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SEC-033 s.d. 035</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Sesi &amp; Ketahanan</w:t>
            </w:r>
          </w:p>
        </w:tc>
        <w:tc>
          <w:tcPr>
            <w:tcW w:type="dxa" w:w="649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Session timeout 15 menit untuk peran istimewa. Tanda tangan digital memakai sertifikat yang dapat diverifikasi independen. Cadangan terenkripsi, diuji pemulihannya berkala, disimpan terpisah secara geografis.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1E5AA8" w:sz="24"/>
              <w:bottom w:val="none" w:color="auto" w:sz="0"/>
              <w:right w:val="none" w:color="auto" w:sz="0"/>
            </w:tcBorders>
            <w:shd w:fill="F2F5FA"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Mengapa Otorisasi Diperiksa Dua Kali</w:t>
            </w:r>
          </w:p>
          <w:p>
            <w:pPr>
              <w:spacing w:after="40" w:line="264"/>
              <w:jc w:val="both"/>
            </w:pPr>
            <w:r>
              <w:rPr>
                <w:rFonts w:ascii="Calibri" w:cs="Calibri" w:eastAsia="Calibri" w:hAnsi="Calibri"/>
                <w:color w:val="20293A"/>
                <w:sz w:val="19"/>
                <w:szCs w:val="19"/>
              </w:rPr>
              <w:t xml:space="preserve">SEC-007 mensyaratkan setiap permintaan diotorisasi ulang. Implementasinya memeriksa otorisasi di API Gateway dan sekali lagi di lapisan layanan. Ini tampak berlebihan — dan memang, sampai seseorang menemukan cara memanggil layanan internal tanpa melewati gateway.</w:t>
            </w:r>
          </w:p>
          <w:p>
            <w:pPr>
              <w:spacing w:after="40" w:line="264"/>
              <w:jc w:val="both"/>
            </w:pPr>
            <w:r>
              <w:rPr>
                <w:rFonts w:ascii="Calibri" w:cs="Calibri" w:eastAsia="Calibri" w:hAnsi="Calibri"/>
                <w:color w:val="20293A"/>
                <w:sz w:val="19"/>
                <w:szCs w:val="19"/>
              </w:rPr>
              <w:t xml:space="preserve">Zero Trust berarti tidak mempercayai lapisan sebelumnya, termasuk lapisan yang kita bangun sendiri.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8. STANDAR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040"/>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Aspek</w:t>
            </w:r>
          </w:p>
        </w:tc>
        <w:tc>
          <w:tcPr>
            <w:tcW w:type="dxa" w:w="704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Standar</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Bahasa &amp; Gaya</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Java: Google Java Style. TypeScript: ESLint + Prettier dengan konfigurasi tim. Python: Ruff + Black. Seluruhnya ditegakkan oleh pipeline, bukan oleh reviu manual.</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Struktur Repositori</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Monorepo dengan modul per domain. Batas modul ditegakkan otomatis (ArchUnit untuk Java, ESLint boundaries untuk TypeScript) — pelanggaran menggagalkan build.</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Konvensi Penamaan</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Entitas, tabel, dan endpoint memakai istilah domain yang sama dengan DOK-05 (Data Dictionary). Tidak ada sinonim: satu konsep, satu nama, di seluruh lapisan.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Pengujian</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Cakupan ≥ 80% pada logika bisnis inti (NFR-027). Setiap aturan bisnis (BRL) memiliki uji yang membuktikan pelanggarannya ditolak — bukan hanya uji jalur bahagia.</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Versioning API</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Versi pada path (/api/v1/...). Perubahan yang merusak kompatibilitas memerlukan versi baru; versi lama didukung minimal 12 bulan.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Migrasi Basis Data</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Flyway; setiap migrasi bersifat maju-saja dan dapat dijalankan ulang dengan aman. Tidak ada perubahan skema manual di lingkungan mana pun.</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Penanganan Kesalahan</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Kesalahan dikembalikan dengan kode terstruktur yang merujuk ID aturan validasi (DOK-03 Bab 7). Antarmuka menampilkan pesan yang telah ditetapkan, bukan pesan teknis mentah.</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Log</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Log terstruktur (JSON) dengan trace ID. Data pribadi dan isi bukti tidak pernah ditulis ke log aplikasi.</w:t>
            </w:r>
          </w:p>
        </w:tc>
      </w:tr>
    </w:tbl>
    <w:p>
      <w:pPr>
        <w:spacing w:after="140"/>
      </w:pPr>
    </w:p>
    <w:p>
      <w:pPr>
        <w:spacing w:after="120" w:line="276"/>
        <w:jc w:val="both"/>
      </w:pPr>
      <w:r>
        <w:rPr>
          <w:rFonts w:ascii="Calibri" w:cs="Calibri" w:eastAsia="Calibri" w:hAnsi="Calibri"/>
          <w:b/>
          <w:bCs/>
          <w:color w:val="20293A"/>
          <w:sz w:val="21"/>
          <w:szCs w:val="21"/>
        </w:rPr>
        <w:t xml:space="preserve">Perhatikan baris "Pengujian": setiap aturan bisnis wajib memiliki uji yang membuktikan pelanggarannya ditolak. Menguji bahwa CSA dapat dikirim ketika bukti terlampir adalah uji jalur bahagia. Menguji bahwa CSA tidak dapat dikirim ketika bukti tidak terlampir adalah uji yang membuktikan kepatuhan. Hanya yang kedua bernilai di hadapan auditor.</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9. OBSERVABILITY</w:t>
      </w:r>
    </w:p>
    <w:p>
      <w:pPr>
        <w:spacing w:after="120" w:line="276"/>
        <w:jc w:val="both"/>
      </w:pPr>
      <w:r>
        <w:rPr>
          <w:rFonts w:ascii="Calibri" w:cs="Calibri" w:eastAsia="Calibri" w:hAnsi="Calibri"/>
          <w:color w:val="20293A"/>
          <w:sz w:val="21"/>
          <w:szCs w:val="21"/>
        </w:rPr>
        <w:t xml:space="preserve">Sistem yang tidak dapat diamati tidak dapat dibuktikan memenuhi SLA-nya. Enam pilar berikut menopang NFR-029 dan menjadi bukti pemenuhan NFR kinerja &amp; ketersediaan.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1805"/>
        <w:gridCol w:w="4152"/>
        <w:gridCol w:w="1805"/>
      </w:tblGrid>
      <w:tr>
        <w:trPr>
          <w:tblHeader/>
        </w:trPr>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Pilar</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Perangkat</w:t>
            </w:r>
          </w:p>
        </w:tc>
        <w:tc>
          <w:tcPr>
            <w:tcW w:type="dxa" w:w="415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Yang Dipantau</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Menopang</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Metrik</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Prometheus</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Latensi P50/P95/P99 per endpoint, throughput, tingkat kesalahan, kedalaman antrean Kafka, waktu tanggap AI.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NFR-001 s.d. 006</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Log</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Loki</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Log terstruktur JSON dengan trace ID; retensi 90 hari panas, 1 tahun dingin.</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NFR-029</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Tracing</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Tempo + OpenTelemetry</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Jejak lintas layanan untuk membedah permintaan lambat hingga ke kueri basis data.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NFR-029</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Dasbor</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Grafana</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SLO per layanan; peringatan dini sebelum SLA terlampaui, bukan sesudah.</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NFR-012</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Keamanan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SIEM Bank (syslog/CEF)</w:t>
            </w:r>
          </w:p>
        </w:tc>
        <w:tc>
          <w:tcPr>
            <w:tcW w:type="dxa" w:w="415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Kejadian autentikasi, otorisasi ditolak, unduhan anomali, kegagalan verifikasi hash-chain.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SEC-016, INT-006</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Kesehatan Audit</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Job terjadwal</w:t>
            </w:r>
          </w:p>
        </w:tc>
        <w:tc>
          <w:tcPr>
            <w:tcW w:type="dxa" w:w="415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Verifikasi hash-chain menyeluruh setiap malam; ketidaksesuaian memicu alert prioritas tertinggi.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SEC-013, TAC-07</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Kesehatan Audit sebagai Pilar Tersendiri</w:t>
            </w:r>
          </w:p>
          <w:p>
            <w:pPr>
              <w:spacing w:after="40" w:line="264"/>
              <w:jc w:val="both"/>
            </w:pPr>
            <w:r>
              <w:rPr>
                <w:rFonts w:ascii="Calibri" w:cs="Calibri" w:eastAsia="Calibri" w:hAnsi="Calibri"/>
                <w:color w:val="20293A"/>
                <w:sz w:val="19"/>
                <w:szCs w:val="19"/>
              </w:rPr>
              <w:t xml:space="preserve">Baris terakhir tabel di atas jarang ditemukan pada arsitektur observability biasa: verifikasi hash-chain jejak audit setiap malam, dengan alert prioritas tertinggi bila ditemukan ketidaksesuaian. Ini bukan pemantauan kinerja — ini pemantauan integritas bukti. Bila rantai putus, seluruh dokumentasi pengendalian internal Bank kehilangan nilai pembuktiannya, dan itu harus diketahui dalam hitungan jam, bukan pada saat audit tahunan.</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10. MATRIKS KETERTELUSURAN NFR → KEPUTUSAN TEKNIS</w:t>
      </w:r>
    </w:p>
    <w:p>
      <w:pPr>
        <w:spacing w:after="120" w:line="276"/>
        <w:jc w:val="both"/>
      </w:pPr>
      <w:r>
        <w:rPr>
          <w:rFonts w:ascii="Calibri" w:cs="Calibri" w:eastAsia="Calibri" w:hAnsi="Calibri"/>
          <w:color w:val="20293A"/>
          <w:sz w:val="21"/>
          <w:szCs w:val="21"/>
        </w:rPr>
        <w:t xml:space="preserve">Setiap kebutuhan non-fungsional harus memiliki mekanisme teknis yang mewujudkannya. NFR tanpa mekanisme adalah harapan; mekanisme tanpa NFR adalah kompleksitas yang tidak dibayar siapa pun.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4874"/>
        <w:gridCol w:w="1444"/>
      </w:tblGrid>
      <w:tr>
        <w:trPr>
          <w:tblHeader/>
        </w:trPr>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Kelompok NFR</w:t>
            </w:r>
          </w:p>
        </w:tc>
        <w:tc>
          <w:tcPr>
            <w:tcW w:type="dxa" w:w="487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Keputusan / Komponen Teknis</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Cakupan</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NFR-001 s.d. 006 — Kinerja</w:t>
            </w:r>
          </w:p>
        </w:tc>
        <w:tc>
          <w:tcPr>
            <w:tcW w:type="dxa" w:w="487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SSR (Next.js), cache Redis, materialized view, indeks &amp; partisi PostgreSQL, streaming respons AI.</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NFR-007 s.d. 011 — Skalabilitas</w:t>
            </w:r>
          </w:p>
        </w:tc>
        <w:tc>
          <w:tcPr>
            <w:tcW w:type="dxa" w:w="487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Kubernetes, penskalaan horizontal pod, replika baca PostgreSQL, kluster MinIO &amp; OpenSearch.</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NFR-012 s.d. 015 — Ketersediaan</w:t>
            </w:r>
          </w:p>
        </w:tc>
        <w:tc>
          <w:tcPr>
            <w:tcW w:type="dxa" w:w="487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Redundansi seluruh lapisan, DRC replika panas, replikasi streaming, failover diuji semesteran.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NFR-016 s.d. 017 — Keandalan</w:t>
            </w:r>
          </w:p>
        </w:tc>
        <w:tc>
          <w:tcPr>
            <w:tcW w:type="dxa" w:w="487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ADR-003 (hash-chain), transaksi ACID PostgreSQL, konsumen Kafka idempoten.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NFR-018 s.d. 023 — Usability &amp; Aksesibilitas</w:t>
            </w:r>
          </w:p>
        </w:tc>
        <w:tc>
          <w:tcPr>
            <w:tcW w:type="dxa" w:w="487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Design system dengan token (DOK-18), audit WCAG otomatis di pipeline.</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NFR-024 s.d. 026 — Kompatibilitas</w:t>
            </w:r>
          </w:p>
        </w:tc>
        <w:tc>
          <w:tcPr>
            <w:tcW w:type="dxa" w:w="487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PWA (Workbox), pengujian lintas peramban di pipeline.</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NFR-027 s.d. 029 — Maintainability &amp; Observability</w:t>
            </w:r>
          </w:p>
        </w:tc>
        <w:tc>
          <w:tcPr>
            <w:tcW w:type="dxa" w:w="487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ArchUnit, gerbang cakupan uji, OpenTelemetry, konfigurasi eksternal (Camunda + tabel konfigurasi).</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NFR-030 s.d. 032 — Portabilitas, Lokalisasi, Retensi</w:t>
            </w:r>
          </w:p>
        </w:tc>
        <w:tc>
          <w:tcPr>
            <w:tcW w:type="dxa" w:w="487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Kontainer tanpa ketergantungan cloud tertentu, i18n Bahasa Indonesia, MinIO Object Lock 10 tahun.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4"/>
        <w:gridCol w:w="4062"/>
      </w:tblGrid>
      <w:tr>
        <w:trPr>
          <w:tblHeader/>
        </w:trPr>
        <w:tc>
          <w:tcPr>
            <w:tcW w:type="dxa" w:w="49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Pemeriksaan</w:t>
            </w:r>
          </w:p>
        </w:tc>
        <w:tc>
          <w:tcPr>
            <w:tcW w:type="dxa" w:w="406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Hasil</w:t>
            </w:r>
          </w:p>
        </w:tc>
      </w:tr>
      <w:tr>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NFR tanpa mekanisme teknis</w:t>
            </w:r>
          </w:p>
        </w:tc>
        <w:tc>
          <w:tcPr>
            <w:tcW w:type="dxa" w:w="406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dari 32 NFR</w:t>
            </w:r>
          </w:p>
        </w:tc>
      </w:tr>
      <w:tr>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Kebutuhan keamanan tanpa implementasi</w:t>
            </w:r>
          </w:p>
        </w:tc>
        <w:tc>
          <w:tcPr>
            <w:tcW w:type="dxa" w:w="406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dari 35 SEC</w:t>
            </w:r>
          </w:p>
        </w:tc>
      </w:tr>
      <w:tr>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Keputusan arsitektur tanpa alternatif tercatat</w:t>
            </w:r>
          </w:p>
        </w:tc>
        <w:tc>
          <w:tcPr>
            <w:tcW w:type="dxa" w:w="406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dari 6 ADR</w:t>
            </w:r>
          </w:p>
        </w:tc>
      </w:tr>
      <w:tr>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Komponen teknologi tanpa kebutuhan yang ditopang</w:t>
            </w:r>
          </w:p>
        </w:tc>
        <w:tc>
          <w:tcPr>
            <w:tcW w:type="dxa" w:w="406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dari 22 komponen</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bahwa 22 komponen tumpukan teknologi, 6 architecture decision record, sizing kapasitas, arsitektur enam lingkungan, dan implementasi 35 kebutuhan keamanan sebagaimana diuraikan dalam dokumen ini merupakan spesifikasi teknis yang mengikat, serta menjadi dasar penyusunan DOK-05 s.d. DOK-33.</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Seraya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Lead Architect</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Chief Information Security Officer</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Product Owner / Ketua UKK ICOFR</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DOK-04 —</w:t>
      </w:r>
    </w:p>
    <w:sectPr>
      <w:headerReference w:type="default" r:id="rId7"/>
      <w:footerReference w:type="default" r:id="rId8"/>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DOK-04 · Technical Requirement Specification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DOK-04 · Technical Requirement Specification · v1.0 · Seraya Institute</dc:title>
  <dc:creator>Seraya Institute</dc:creator>
  <cp:lastModifiedBy>Un-named</cp:lastModifiedBy>
  <cp:revision>1</cp:revision>
  <dcterms:created xsi:type="dcterms:W3CDTF">2026-07-12T05:13:48.653Z</dcterms:created>
  <dcterms:modified xsi:type="dcterms:W3CDTF">2026-07-12T05:13:48.653Z</dcterms:modified>
</cp:coreProperties>
</file>

<file path=docProps/custom.xml><?xml version="1.0" encoding="utf-8"?>
<Properties xmlns="http://schemas.openxmlformats.org/officeDocument/2006/custom-properties" xmlns:vt="http://schemas.openxmlformats.org/officeDocument/2006/docPropsVTypes"/>
</file>