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Calibri" w:cs="Calibri" w:eastAsia="Calibri" w:hAnsi="Calibri"/>
          <w:b/>
          <w:bCs/>
          <w:color w:val="9C6C11"/>
          <w:spacing w:val="40"/>
          <w:sz w:val="20"/>
          <w:szCs w:val="20"/>
        </w:rPr>
        <w:t xml:space="preserve">SERAYA INSTITUTE</w:t>
      </w:r>
    </w:p>
    <w:p>
      <w:pPr>
        <w:pBdr>
          <w:bottom w:val="single" w:color="C0891F" w:sz="12" w:space="8"/>
        </w:pBdr>
        <w:spacing w:after="700"/>
      </w:pPr>
      <w:r>
        <w:rPr>
          <w:rFonts w:ascii="Cambria" w:cs="Cambria" w:eastAsia="Cambria" w:hAnsi="Cambria"/>
          <w:i/>
          <w:iCs/>
          <w:color w:val="5C6B7E"/>
          <w:sz w:val="19"/>
          <w:szCs w:val="19"/>
        </w:rPr>
        <w:t xml:space="preserve">Developing Human For Better Futures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9C6C11"/>
          <w:spacing w:val="30"/>
          <w:sz w:val="20"/>
          <w:szCs w:val="20"/>
        </w:rPr>
        <w:t xml:space="preserve">DOK-12</w:t>
      </w:r>
    </w:p>
    <w:p>
      <w:pPr>
        <w:spacing w:after="100"/>
        <w:jc w:val="left"/>
      </w:pPr>
      <w:r>
        <w:rPr>
          <w:rFonts w:ascii="Cambria" w:cs="Cambria" w:eastAsia="Cambria" w:hAnsi="Cambria"/>
          <w:b/>
          <w:bCs/>
          <w:color w:val="13366B"/>
          <w:sz w:val="44"/>
          <w:szCs w:val="44"/>
        </w:rPr>
        <w:t xml:space="preserve">ACTIVITY DIAGRAM</w:t>
      </w:r>
    </w:p>
    <w:p>
      <w:pPr>
        <w:spacing w:after="500"/>
      </w:pPr>
      <w:r>
        <w:rPr>
          <w:rFonts w:ascii="Cambria" w:cs="Cambria" w:eastAsia="Cambria" w:hAnsi="Cambria"/>
          <w:color w:val="5C6B7E"/>
          <w:sz w:val="24"/>
          <w:szCs w:val="24"/>
        </w:rPr>
        <w:t xml:space="preserve">Alur Aktivitas &amp; Pohon Keputusan — Notasi UML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E5AA8"/>
          <w:sz w:val="32"/>
          <w:szCs w:val="32"/>
        </w:rPr>
        <w:t xml:space="preserve">ICOP GRC PLATFORM</w:t>
      </w:r>
    </w:p>
    <w:p>
      <w:pPr>
        <w:spacing w:after="900"/>
      </w:pPr>
      <w:r>
        <w:rPr>
          <w:rFonts w:ascii="Calibri" w:cs="Calibri" w:eastAsia="Calibri" w:hAnsi="Calibri"/>
          <w:i/>
          <w:iCs/>
          <w:color w:val="5C6B7E"/>
          <w:sz w:val="19"/>
          <w:szCs w:val="19"/>
        </w:rPr>
        <w:t xml:space="preserve">Integrated Governance, Risk, Audit &amp; Compliance Platform  ·  Modul Utama: ICOFR Management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DOK-12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13 Juli 2026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Disusun oleh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 — Tim Arsitektur &amp; Solusi GRC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 — Internal Use Only</w:t>
            </w:r>
          </w:p>
        </w:tc>
      </w:tr>
    </w:tbl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5C6B7E"/>
          <w:sz w:val="16"/>
          <w:szCs w:val="16"/>
        </w:rPr>
        <w:t xml:space="preserve">Dokumen ini bersifat rahasia. Dilarang menggandakan, mendistribusikan, atau mengungkapkan isinya kepada pihak ketiga tanpa persetujuan tertulis.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DAFTAR ISI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KENDALI DOKUMEN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3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1. PENDAHULUAN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4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2. NOTASI ACTIVITY DIAGRAM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5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3. SIKLUS ICOFR END-TO-END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6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4. KLASIFIKASI DEFISIENSI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9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5. HUBUNGAN DENGAN BPMN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12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LEMBAR PERSETUJUAN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13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KENDALI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7"/>
        <w:gridCol w:w="6679"/>
      </w:tblGrid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Activity Diagram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DOK-12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Batch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B4 — Pemodelan Proses &amp; Perilaku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Bergantung Pada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DOK-03 (FRS §5 Aturan Perhitungan) · DOK-08 (BPMN)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Menjadi Dasar Bagi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DOK-17 (UI/UX) · DOK-34 (Test Plan) · DOK-35 (Panduan Pengguna)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 Terbit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13 Juli 2026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Penyusun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Riwayat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1444"/>
        <w:gridCol w:w="5235"/>
        <w:gridCol w:w="1444"/>
      </w:tblGrid>
      <w:tr>
        <w:trPr>
          <w:tblHeader/>
        </w:trP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 Perubahan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Penyusun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0.1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13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Draf awal — siklus ICOFR.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1.0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13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Baseline — 2 activity diagram: siklus ICOFR tahunan dan pohon keputusan klasifikasi defisiensi (CALC-04/05/06).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1. PENDAHULUAN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Activity diagram melengkapi BPMN pada DOK-08 dari dua sisi yang berbeda.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BPMN menjawab pertanyaan operasional: siapa mengerjakan apa, dalam urutan apa, dan tugas mana yang menunggu tugas lain. Ia dirancang untuk dieksekusi mesin alur kerja.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Activity diagram menjawab pertanyaan analitis: bagaimana bentuk keseluruhan alur, di mana ada percabangan paralel, dan bagaimana sebuah keputusan diambil langkah demi langkah. Ia dirancang untuk dibaca manusia — khususnya auditor yang perlu memahami logika sistem tanpa membaca kode.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Dua diagram disajikan: satu memetakan siklus ICOFR tahunan secara utuh, satu lagi memetakan logika klasifikasi defisiensi yang merupakan bagian paling sering salah diterapkan pada implementasi ICOFR.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2. NOTASI ACTIVITY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805"/>
        <w:gridCol w:w="5055"/>
      </w:tblGrid>
      <w:tr>
        <w:trPr>
          <w:tblHeader/>
        </w:trP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Simbol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Nama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Makna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Lingkaran hitam penuh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Initial Node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Titik mulai alur.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Lingkaran bercincin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Final Node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Titik akhir alur.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Kotak membulat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Action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Satu langkah aktivitas.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Belah ketupat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Decision / Merge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Percabangan berdasarkan kondisi; label pada panah adalah kondisinya.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Batang tebal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Fork / Join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Percabangan paralel (fork) dan penggabungannya kembali (join).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Kotak sudut terlipat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Note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Catatan penjelas.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Panah putus emas</w:t>
            </w:r>
          </w:p>
        </w:tc>
        <w:tc>
          <w:tcPr>
            <w:tcW w:type="dxa" w:w="180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Alur balik</w:t>
            </w:r>
          </w:p>
        </w:tc>
        <w:tc>
          <w:tcPr>
            <w:tcW w:type="dxa" w:w="505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Pengulangan — mis. uji ulang setelah remediasi.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3. SIKLUS ICOFR END-TO-END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Alur satu periode buku, dari penetapan materialitas hingga penguncian periode. Perhatikan batang fork setelah penetapan akun signifikan: pemetaan proses (BPM &amp; walkthrough) dan penyusunan RCM berjalan paralel, karena keduanya tidak saling menunggu — dan pada praktiknya memang dikerjakan tim yang berbeda pada waktu bersamaan.</w:t>
      </w:r>
    </w:p>
    <w:p>
      <w:pPr>
        <w:spacing w:after="60" w:before="140"/>
        <w:jc w:val="center"/>
      </w:pPr>
      <w:r>
        <w:drawing>
          <wp:inline distT="0" distB="0" distL="0" distR="0">
            <wp:extent cx="3457575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Gambar 3.1 — Siklus ICOFR satu periode buku. Panah putus emas dari agregasi defisiensi kembali ke Uji Operasi menandakan uji ulang pasca-remediasi — bagian yang membuat siklus ini tidak benar-benar linear.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Rangkaian akhir — atestasi lalu kunci periode — tidak memiliki jalur kembali. Ini konsisten dengan mesin status pada DOK-13: satu-satunya jalan keluar dari periode terkunci adalah restatement, yang membentuk versi periode baru dan meninggalkan versi lama utuh.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4. KLASIFIKASI DEFISIENSI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Pohon keputusan lengkap CALC-04, CALC-05, dan CALC-06. Diagram ini adalah bagian dokumen batch B4 yang paling layak dibaca perlahan, karena di sinilah kesalahan penerapan ICOFR paling sering terjadi — dan konsekuensinya langsung terasa pada laporan kepada OJK.</w:t>
      </w:r>
    </w:p>
    <w:p>
      <w:pPr>
        <w:spacing w:after="60" w:before="140"/>
        <w:jc w:val="center"/>
      </w:pPr>
      <w:r>
        <w:drawing>
          <wp:inline distT="0" distB="0" distL="0" distR="0">
            <wp:extent cx="4752975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Gambar 4.1 — Pohon keputusan klasifikasi defisiensi. Cabang indikator MW memotong seluruh penyesuaian berikutnya: sekali terkunci, klasifikasi tidak dapat diturunkan pengendalian kompensasi mana pun.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4.1 Urutan Pemeriksaan Menentukan Hasil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Urutan cabang pada diagram tidak dapat dipertukarkan. Pemeriksaan indikator MW berada sebelum pemeriksaan pengendalian kompensasi — dan itu disengaja.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Bila urutannya dibalik</w:t>
            </w:r>
          </w:p>
        </w:tc>
        <w:tc>
          <w:tcPr>
            <w:tcW w:type="dxa" w:w="631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Akibat</w:t>
            </w:r>
          </w:p>
        </w:tc>
      </w:tr>
      <w:tr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Kompensasi diperiksa lebih dulu</w:t>
            </w:r>
          </w:p>
        </w:tc>
        <w:tc>
          <w:tcPr>
            <w:tcW w:type="dxa" w:w="631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Sebuah Material Weakness akibat kecurangan manajemen dapat "diturunkan" menjadi Significant Deficiency oleh pengendalian kompensasi. Padahal justru dalam situasi kecurangan manajemen, pengendalian kompensasi paling mungkin ikut dilangkahi.</w:t>
            </w:r>
          </w:p>
        </w:tc>
      </w:tr>
      <w:tr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Agregasi diperiksa sebelum klasifikasi final</w:t>
            </w:r>
          </w:p>
        </w:tc>
        <w:tc>
          <w:tcPr>
            <w:tcW w:type="dxa" w:w="631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Defisiensi individual belum memiliki klasifikasi final yang stabil, sehingga hasil agregasi berubah-ubah setiap kali satu defisiensi disesuaikan.</w:t>
            </w:r>
          </w:p>
        </w:tc>
      </w:tr>
      <w:tr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Temuan berulang diperiksa sebelum kompensasi</w:t>
            </w:r>
          </w:p>
        </w:tc>
        <w:tc>
          <w:tcPr>
            <w:tcW w:type="dxa" w:w="631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Kenaikan tingkat akibat pengulangan dapat dibatalkan kompensasi pada periode yang sama — menghapus makna BRL-007 yang justru menandakan remediasi sebelumnya tidak berhasil.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C0891F" w:sz="24"/>
              <w:bottom w:val="none" w:color="auto" w:sz="0"/>
              <w:right w:val="none" w:color="auto" w:sz="0"/>
            </w:tcBorders>
            <w:shd w:fill="F6ECD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Empat Indikator yang Mengunci Material Weakness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CALC-05: (a) kecurangan oleh manajemen senior, material maupun tidak; (b) penyajian kembali laporan keuangan untuk mengoreksi salah saji material; (c) salah saji material ditemukan auditor eksternal yang tidak akan terdeteksi oleh pengendalian Bank sendiri; (d) pengawasan Komite Audit atau Dewan Komisaris atas pelaporan keuangan tidak efektif.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Indikator (c) adalah yang paling tidak nyaman dan paling jujur. Ia berarti: bila auditor eksternal menemukan salah saji material yang luput dari seluruh pengendalian Bank, maka menurut definisi pengendalian itu tidak bekerja — terlepas dari seberapa rapi dokumentasinya.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5. HUBUNGAN DENGAN BPMN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Kedua diagram di dokumen ini menggambarkan proses yang sama dengan DOK-08, pada tingkat abstraksi yang berbeda. Tidak ada pertentangan di antara keduanya; bila kelak ditemukan perbedaan, DOK-08 yang berlaku karena ia adalah artefak yang dieksekusi Camunda.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3520"/>
        <w:gridCol w:w="3520"/>
      </w:tblGrid>
      <w:tr>
        <w:trPr>
          <w:tblHeader/>
        </w:trP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Aspek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BPMN (DOK-08)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Activity (DOK-12)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Tujuan utama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Dieksekusi mesin alur kerja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Dipahami manusia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Menonjolkan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Peran, tugas, gerbang, dan penugasan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Bentuk alur, paralelisme, dan logika keputusan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Tingkat rincian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Per tugas yang dapat ditugaskan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Per langkah bermakna, termasuk perhitungan internal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Bila berbeda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Berlaku — ia yang berjalan di produksi</w:t>
            </w:r>
          </w:p>
        </w:tc>
        <w:tc>
          <w:tcPr>
            <w:tcW w:type="dxa" w:w="352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6"/>
                <w:szCs w:val="16"/>
              </w:rPr>
              <w:t xml:space="preserve">Diperbaiki mengikuti DOK-08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Gambar 4.1 tidak memiliki padanan BPMN, dan memang tidak seharusnya memiliki. Klasifikasi defisiensi bukan proses yang melibatkan penugasan antar peran; ia adalah perhitungan yang dilakukan sistem dalam satu transaksi. Menggambarnya sebagai BPMN akan menyesatkan — seolah ada tugas manusia di setiap cabang, padahal tidak ada.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LEMBAR PERSETUJUAN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Dengan menandatangani lembar ini, para pihak menyatakan bahwa alur aktivitas siklus ICOFR dan pohon keputusan klasifikasi defisiensi sebagaimana disajikan merupakan representasi yang benar dan mengikat.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9"/>
        <w:gridCol w:w="2708"/>
        <w:gridCol w:w="3249"/>
      </w:tblGrid>
      <w:tr>
        <w:trPr>
          <w:tblHeader/>
        </w:trP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Tanda Tangan &amp; Tanggal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Disusun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Konsultan — Seraya Institute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Ketua UKK ICOFR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Kepala SKAI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Disetujui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Sponsor Program (Direksi)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line="276"/>
        <w:jc w:val="center"/>
      </w:pPr>
      <w:r>
        <w:rPr>
          <w:rFonts w:ascii="Calibri" w:cs="Calibri" w:eastAsia="Calibri" w:hAnsi="Calibri"/>
          <w:i/>
          <w:iCs/>
          <w:color w:val="5C6B7E"/>
          <w:sz w:val="21"/>
          <w:szCs w:val="21"/>
        </w:rPr>
        <w:t xml:space="preserve">— Akhir Dokumen DOK-12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DOK-12 · Activity Diagram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0891F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color w:val="5C6B7E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3366B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color w:val="1B4A8A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9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3366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4A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5A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a06856bf09b2dcc8aefe8c123653e3e4e8b2f7.png"/><Relationship Id="rId10" Type="http://schemas.openxmlformats.org/officeDocument/2006/relationships/image" Target="media/d683b75c739ef964e36d7497f7d13c533b6461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DOK-12 · Activity Diagram · v1.0 · Seraya Institute</dc:title>
  <dc:creator>Seraya Institute</dc:creator>
  <cp:lastModifiedBy>Un-named</cp:lastModifiedBy>
  <cp:revision>1</cp:revision>
  <dcterms:created xsi:type="dcterms:W3CDTF">2026-07-18T11:59:25.619Z</dcterms:created>
  <dcterms:modified xsi:type="dcterms:W3CDTF">2026-07-18T11:59:25.619Z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