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Calibri" w:cs="Calibri" w:eastAsia="Calibri" w:hAnsi="Calibri"/>
          <w:b/>
          <w:bCs/>
          <w:color w:val="9C6C11"/>
          <w:spacing w:val="40"/>
          <w:sz w:val="20"/>
          <w:szCs w:val="20"/>
        </w:rPr>
        <w:t xml:space="preserve">SERAYA INSTITUTE</w:t>
      </w:r>
    </w:p>
    <w:p>
      <w:pPr>
        <w:pBdr>
          <w:bottom w:val="single" w:color="C0891F" w:sz="12" w:space="8"/>
        </w:pBdr>
        <w:spacing w:after="700"/>
      </w:pPr>
      <w:r>
        <w:rPr>
          <w:rFonts w:ascii="Cambria" w:cs="Cambria" w:eastAsia="Cambria" w:hAnsi="Cambria"/>
          <w:i/>
          <w:iCs/>
          <w:color w:val="5C6B7E"/>
          <w:sz w:val="19"/>
          <w:szCs w:val="19"/>
        </w:rPr>
        <w:t xml:space="preserve">Developing Human For Better Futures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9C6C11"/>
          <w:spacing w:val="30"/>
          <w:sz w:val="20"/>
          <w:szCs w:val="20"/>
        </w:rPr>
        <w:t xml:space="preserve">DOK-20</w:t>
      </w:r>
    </w:p>
    <w:p>
      <w:pPr>
        <w:spacing w:after="100"/>
        <w:jc w:val="left"/>
      </w:pPr>
      <w:r>
        <w:rPr>
          <w:rFonts w:ascii="Cambria" w:cs="Cambria" w:eastAsia="Cambria" w:hAnsi="Cambria"/>
          <w:b/>
          <w:bCs/>
          <w:color w:val="13366B"/>
          <w:sz w:val="44"/>
          <w:szCs w:val="44"/>
        </w:rPr>
        <w:t xml:space="preserve">ROLE &amp; PERMISSION MATRIX</w:t>
      </w:r>
    </w:p>
    <w:p>
      <w:pPr>
        <w:spacing w:after="500"/>
      </w:pPr>
      <w:r>
        <w:rPr>
          <w:rFonts w:ascii="Cambria" w:cs="Cambria" w:eastAsia="Cambria" w:hAnsi="Cambria"/>
          <w:color w:val="5C6B7E"/>
          <w:sz w:val="24"/>
          <w:szCs w:val="24"/>
        </w:rPr>
        <w:t xml:space="preserve">Peran, Kewenangan &amp; Pemisahan Tugas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E5AA8"/>
          <w:sz w:val="32"/>
          <w:szCs w:val="32"/>
        </w:rPr>
        <w:t xml:space="preserve">ICOP GRC PLATFORM</w:t>
      </w:r>
    </w:p>
    <w:p>
      <w:pPr>
        <w:spacing w:after="900"/>
      </w:pPr>
      <w:r>
        <w:rPr>
          <w:rFonts w:ascii="Calibri" w:cs="Calibri" w:eastAsia="Calibri" w:hAnsi="Calibri"/>
          <w:i/>
          <w:iCs/>
          <w:color w:val="5C6B7E"/>
          <w:sz w:val="19"/>
          <w:szCs w:val="19"/>
        </w:rPr>
        <w:t xml:space="preserve">Integrated Governance, Risk, Audit &amp; Compliance Platform  ·  Modul Utama: ICOFR Management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6499"/>
      </w:tblGrid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Kode Dokumen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DOK-20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Versi / Status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1.0 / Baseline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Tanggal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16 Juli 2026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Disusun oleh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Seraya Institute — Tim Arsitektur &amp; Solusi GRC</w:t>
            </w:r>
          </w:p>
        </w:tc>
      </w:tr>
      <w:tr>
        <w:tc>
          <w:tcPr>
            <w:tcW w:type="dxa" w:w="252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Klasifikasi</w:t>
            </w:r>
          </w:p>
        </w:tc>
        <w:tc>
          <w:tcPr>
            <w:tcW w:type="dxa" w:w="649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RAHASIA &amp; TERBATAS — Internal Use Only</w:t>
            </w:r>
          </w:p>
        </w:tc>
      </w:tr>
    </w:tbl>
    <w:p>
      <w:pPr>
        <w:spacing w:before="700"/>
        <w:jc w:val="center"/>
      </w:pPr>
      <w:r>
        <w:rPr>
          <w:rFonts w:ascii="Calibri" w:cs="Calibri" w:eastAsia="Calibri" w:hAnsi="Calibri"/>
          <w:i/>
          <w:iCs/>
          <w:color w:val="5C6B7E"/>
          <w:sz w:val="16"/>
          <w:szCs w:val="16"/>
        </w:rPr>
        <w:t xml:space="preserve">Dokumen ini bersifat rahasia. Dilarang menggandakan, mendistribusikan, atau mengungkapkan isinya kepada pihak ketiga tanpa persetujuan tertulis.</w:t>
      </w:r>
    </w:p>
    <w:p>
      <w:r>
        <w:br w:type="page"/>
      </w:r>
    </w:p>
    <w:p>
      <w:pPr>
        <w:pStyle w:val="Heading1"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DAFTAR ISI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KENDALI DOKUMEN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3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1. PENDAHULUAN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4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2. MODEL OTORISASI BERLAPIS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5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3. DELAPAN PERAN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6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4. MATRIKS PERAN × SCOPE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7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5. MATRIKS PERAN × MODUL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8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6. MATRIKS PEMISAHAN TUGAS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9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7. ATRIBUT &amp; ROW-LEVEL SECURITY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11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8. DELEGASI &amp; AKSES DARURAT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12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9. TATA KELOLA HAK AKSES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13</w:t>
      </w:r>
    </w:p>
    <w:p>
      <w:pPr>
        <w:tabs>
          <w:tab w:val="right" w:pos="9026" w:leader="dot"/>
        </w:tabs>
        <w:spacing w:after="60" w:line="264"/>
        <w:ind w:left="0"/>
      </w:pPr>
      <w:r>
        <w:rPr>
          <w:rFonts w:ascii="Calibri" w:cs="Calibri" w:eastAsia="Calibri" w:hAnsi="Calibri"/>
          <w:b/>
          <w:bCs/>
          <w:color w:val="13366B"/>
          <w:sz w:val="20"/>
          <w:szCs w:val="20"/>
        </w:rPr>
        <w:t xml:space="preserve">LEMBAR PERSETUJUAN</w:t>
      </w:r>
      <w:r>
        <w:rPr>
          <w:rFonts w:ascii="Calibri" w:cs="Calibri" w:eastAsia="Calibri" w:hAnsi="Calibri"/>
          <w:color w:val="D3DCEA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color w:val="13366B"/>
          <w:sz w:val="19"/>
          <w:szCs w:val="19"/>
        </w:rPr>
        <w:t xml:space="preserve">14</w:t>
      </w:r>
    </w:p>
    <w:p>
      <w:r>
        <w:br w:type="page"/>
      </w:r>
    </w:p>
    <w:p>
      <w:pPr>
        <w:pStyle w:val="Heading1"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KENDALI DOKUMEN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7"/>
        <w:gridCol w:w="6679"/>
      </w:tblGrid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Nama Dokumen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Role &amp; Permission Matrix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Kode Dokumen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DOK-20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Batch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B7 — Matriks Kendali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Bergantung Pada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DOK-03 (FRS) · DOK-07 (Database Schema, RLS) · DOK-15 (API Spec, 10 scope) · DOK-19 (Navigation Flow)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Menjadi Dasar Bagi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DOK-21 (Workflow) · DOK-22 (RACI) · DOK-26 (Cybersecurity) · DOK-27 (Zero Trust)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Versi / Status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1.0 / Baseline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Tanggal Terbit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16 Juli 2026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Penyusun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Seraya Institute</w:t>
            </w:r>
          </w:p>
        </w:tc>
      </w:tr>
      <w:tr>
        <w:tc>
          <w:tcPr>
            <w:tcW w:type="dxa" w:w="234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E6ECF5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19"/>
                <w:szCs w:val="19"/>
              </w:rPr>
              <w:t xml:space="preserve">Klasifikasi</w:t>
            </w:r>
          </w:p>
        </w:tc>
        <w:tc>
          <w:tcPr>
            <w:tcW w:type="dxa" w:w="667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90"/>
            </w:tcMar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Rahasia &amp; Terbatas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Riwayat Revisi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3"/>
        <w:gridCol w:w="1444"/>
        <w:gridCol w:w="5235"/>
        <w:gridCol w:w="1444"/>
      </w:tblGrid>
      <w:tr>
        <w:trPr>
          <w:tblHeader/>
        </w:trP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  <w:tc>
          <w:tcPr>
            <w:tcW w:type="dxa" w:w="523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 Perubahan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Penyusun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0.1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16 Juli 2026</w:t>
            </w:r>
          </w:p>
        </w:tc>
        <w:tc>
          <w:tcPr>
            <w:tcW w:type="dxa" w:w="523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Draf awal — delapan peran.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SI</w:t>
            </w:r>
          </w:p>
        </w:tc>
      </w:tr>
      <w:tr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1.0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16 Juli 2026</w:t>
            </w:r>
          </w:p>
        </w:tc>
        <w:tc>
          <w:tcPr>
            <w:tcW w:type="dxa" w:w="523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Baseline — 8 peran, matriks peran × 10 scope, matriks peran × 17 modul, matriks pemisahan tugas, dan ketentuan akses darurat.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SI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1. PENDAHULUAN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Dokumen ini menetapkan siapa boleh melakukan apa. Ia mengikat tiga hal yang telah ditetapkan lebih dahulu: sepuluh scope OAuth2 pada DOK-15, Row-Level Security pada DOK-07, dan penyembunyian layar pada DOK-19.</w:t>
      </w:r>
    </w:p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0293A"/>
          <w:sz w:val="21"/>
          <w:szCs w:val="21"/>
        </w:rPr>
        <w:t xml:space="preserve">Ketiganya bekerja bersama namun tidak saling menggantikan. Menyembunyikan layar bukan otorisasi; scope bukan penentu baris mana yang terlihat; dan RLS tidak mengetahui apakah dua peran boleh dipegang satu orang.</w:t>
      </w:r>
    </w:p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2. MODEL OTORISASI BERLAPIS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Izin akhir seseorang adalah irisan dari peran fungsionalnya, atribut organisasinya, dan cakupan baris yang ditetapkan basis data.</w:t>
      </w:r>
    </w:p>
    <w:p>
      <w:pPr>
        <w:spacing w:after="60" w:before="140"/>
        <w:jc w:val="center"/>
      </w:pPr>
      <w:r>
        <w:drawing>
          <wp:inline distT="0" distB="0" distL="0" distR="0">
            <wp:extent cx="573405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left"/>
      </w:pPr>
      <w:r>
        <w:rPr>
          <w:rFonts w:ascii="Calibri" w:cs="Calibri" w:eastAsia="Calibri" w:hAnsi="Calibri"/>
          <w:i/>
          <w:iCs/>
          <w:color w:val="5C6B7E"/>
          <w:sz w:val="17"/>
          <w:szCs w:val="17"/>
        </w:rPr>
        <w:t xml:space="preserve">Gambar 2.1 — Model otorisasi. Pemeriksaan pemisahan tugas bekerja pada tahap pemberian peran, bukan pada tahap permintaan.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6"/>
        <w:gridCol w:w="3971"/>
        <w:gridCol w:w="3069"/>
      </w:tblGrid>
      <w:tr>
        <w:trPr>
          <w:tblHeader/>
        </w:trP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Lapisan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Menjawab Pertanyaan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Ditetapkan Di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Peran (RBAC)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Jenis pekerjaan apa yang boleh dilakukan orang ini?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Dokumen ini, Bab 3–4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Atribut (ABAC)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Pada unit organisasi dan periode mana?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Dokumen ini, Bab 7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Row-Level Security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Baris mana yang boleh terlihat?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DOK-07 §3.4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Pemisahan tugas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Bolehkah orang ini memegang kombinasi peran tersebut?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Dokumen ini, Bab 6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Penyembunyian layar</w:t>
            </w:r>
          </w:p>
        </w:tc>
        <w:tc>
          <w:tcPr>
            <w:tcW w:type="dxa" w:w="3971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Layar mana yang perlu ditampilkan agar tidak membingungkan?</w:t>
            </w:r>
          </w:p>
        </w:tc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DOK-19 Bab 4 — bukan mekanisme keamanan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3. DELAPAN PERAN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Peran ditetapkan menurut Three Lines Model. Setiap peran memiliki satu tanggung jawab utama; peran yang menampung banyak tanggung jawab akan sulit dipisahkan kelak.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2"/>
        <w:gridCol w:w="1444"/>
        <w:gridCol w:w="722"/>
        <w:gridCol w:w="3610"/>
        <w:gridCol w:w="2528"/>
      </w:tblGrid>
      <w:tr>
        <w:trPr>
          <w:tblHeader/>
        </w:trP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Kode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Peran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Lini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Tanggung Jawab</w:t>
            </w:r>
          </w:p>
        </w:tc>
        <w:tc>
          <w:tcPr>
            <w:tcW w:type="dxa" w:w="2528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Scope Utama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PR-01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Pemilik Kontrol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Lini 1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Melaksanakan pengendalian, mengisi CSA, mengunggah bukti remediasi.</w:t>
            </w:r>
          </w:p>
        </w:tc>
        <w:tc>
          <w:tcPr>
            <w:tcW w:type="dxa" w:w="252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icofr.baca · dokumen.tulis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PR-02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UKK ICOFR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Lini 2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Menetapkan materialitas, memelihara RCM, mengklasifikasi &amp; menutup defisiensi, mengevaluasi CSA.</w:t>
            </w:r>
          </w:p>
        </w:tc>
        <w:tc>
          <w:tcPr>
            <w:tcW w:type="dxa" w:w="252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icofr.baca · icofr.kelola · dokumen.* · ai.gunakan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PR-03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Manajemen Risiko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Lini 2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Mengelola register risiko, KRI, loss event, dan insiden.</w:t>
            </w:r>
          </w:p>
        </w:tc>
        <w:tc>
          <w:tcPr>
            <w:tcW w:type="dxa" w:w="252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icofr.baca · dokumen.tulis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PR-04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Kepatuhan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Lini 2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Mengelola regulasi, kewajiban, asesmen, dan alur kebijakan POJK Pasal 4.</w:t>
            </w:r>
          </w:p>
        </w:tc>
        <w:tc>
          <w:tcPr>
            <w:tcW w:type="dxa" w:w="252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icofr.baca · dokumen.* · ai.validasi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PR-05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SKAI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Lini 3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Melaksanakan ToD/ToE, uji ulang penutupan defisiensi, dan reviu kertas kerja.</w:t>
            </w:r>
          </w:p>
        </w:tc>
        <w:tc>
          <w:tcPr>
            <w:tcW w:type="dxa" w:w="252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icofr.baca · icofr.uji · dokumen.* · audit.baca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PR-06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Auditor Internal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Lini 3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Melaksanakan penugasan audit internal dan mencatat temuan.</w:t>
            </w:r>
          </w:p>
        </w:tc>
        <w:tc>
          <w:tcPr>
            <w:tcW w:type="dxa" w:w="252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icofr.baca · dokumen.* · audit.baca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PR-07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Direksi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Menandatangani atestasi, menerima laporan, memutuskan restatement.</w:t>
            </w:r>
          </w:p>
        </w:tc>
        <w:tc>
          <w:tcPr>
            <w:tcW w:type="dxa" w:w="252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icofr.baca · icofr.atestasi</w:t>
            </w:r>
          </w:p>
        </w:tc>
      </w:tr>
      <w:tr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PR-08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Administrator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Mengelola akun, peran, unit organisasi, dan konfigurasi sistem.</w:t>
            </w:r>
          </w:p>
        </w:tc>
        <w:tc>
          <w:tcPr>
            <w:tcW w:type="dxa" w:w="252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ADM saja — tidak memiliki scope fungsional</w:t>
            </w:r>
          </w:p>
        </w:tc>
      </w:tr>
    </w:tbl>
    <w:p>
      <w:pPr>
        <w:spacing w:after="14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0293A"/>
          <w:sz w:val="21"/>
          <w:szCs w:val="21"/>
        </w:rPr>
        <w:t xml:space="preserve">Administrator sengaja tidak memiliki scope fungsional apa pun. Ia mengelola akun dan peran; ia tidak dapat membaca defisiensi, tidak dapat menguji kontrol, dan tidak dapat menandatangani atestasi. Batasan ini diperlukan karena administrator dapat memberi hak kepada dirinya sendiri — sehingga satu-satunya pengamanan yang bermakna adalah membuat pemberian itu tercatat dan terlihat.</w:t>
      </w:r>
    </w:p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4. MATRIKS PERAN × SCOPE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Sepuluh scope OAuth2 dari DOK-15 dipetakan ke delapan peran. Matriks ini adalah sumber kebenaran bagi konfigurasi Keycloak.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6"/>
        <w:gridCol w:w="903"/>
        <w:gridCol w:w="812"/>
        <w:gridCol w:w="903"/>
        <w:gridCol w:w="903"/>
        <w:gridCol w:w="812"/>
        <w:gridCol w:w="993"/>
        <w:gridCol w:w="812"/>
        <w:gridCol w:w="902"/>
      </w:tblGrid>
      <w:tr>
        <w:trPr>
          <w:tblHeader/>
        </w:trP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Scope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L1 Pemilik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L2 UKK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L2 Risiko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L2 Patuh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L3 SKAI</w:t>
            </w:r>
          </w:p>
        </w:tc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L3 Auditor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Direksi</w:t>
            </w:r>
          </w:p>
        </w:tc>
        <w:tc>
          <w:tcPr>
            <w:tcW w:type="dxa" w:w="90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Admin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icofr.baca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0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icofr.kelola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0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icofr.uji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0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icofr.atestasi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✓*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0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icofr.kunci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✓**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0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dokumen.baca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0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dokumen.tulis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0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ai.gunakan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0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ai.validasi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0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audit.baca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9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✓</w:t>
            </w:r>
          </w:p>
        </w:tc>
        <w:tc>
          <w:tcPr>
            <w:tcW w:type="dxa" w:w="90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Catatan</w:t>
            </w:r>
          </w:p>
        </w:tc>
        <w:tc>
          <w:tcPr>
            <w:tcW w:type="dxa" w:w="5957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Keterangan</w:t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✓* pada icofr.atestasi untuk Pemilik Kontrol</w:t>
            </w:r>
          </w:p>
        </w:tc>
        <w:tc>
          <w:tcPr>
            <w:tcW w:type="dxa" w:w="595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Terbatas pada atestasi tingkat proses atas proses yang dimilikinya sendiri. Tidak berlaku untuk tingkat unit, direktorat, maupun Direksi.</w:t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✓** pada icofr.kunci untuk UKK ICOFR</w:t>
            </w:r>
          </w:p>
        </w:tc>
        <w:tc>
          <w:tcPr>
            <w:tcW w:type="dxa" w:w="595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Diberikan kepada dua orang saja pada seluruh organisasi. Setiap pemberiannya memerlukan persetujuan Direktur Kepatuhan dan tercatat permanen.</w:t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Administrator tanpa scope fungsional</w:t>
            </w:r>
          </w:p>
        </w:tc>
        <w:tc>
          <w:tcPr>
            <w:tcW w:type="dxa" w:w="595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Kolom Admin kosong seluruhnya kecuali modul ADM. Ini bukan kekeliruan penyusunan.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5. MATRIKS PERAN × MODUL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Tujuh belas modul terhadap delapan peran. Huruf menyatakan tingkat akses: B baca · T tulis · H hapus (lunak) · S setuju · G gunakan AI · V validasi AI.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2"/>
        <w:gridCol w:w="1895"/>
        <w:gridCol w:w="812"/>
        <w:gridCol w:w="903"/>
        <w:gridCol w:w="812"/>
        <w:gridCol w:w="812"/>
        <w:gridCol w:w="903"/>
        <w:gridCol w:w="812"/>
        <w:gridCol w:w="722"/>
        <w:gridCol w:w="723"/>
      </w:tblGrid>
      <w:tr>
        <w:trPr>
          <w:tblHeader/>
        </w:trP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Kode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Modul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L1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L2 UKK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L2 Rsk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L2 Pth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L3 SKAI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L3 Adt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Dir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Adm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DSH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Dasbor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GOV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Tata Kelola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ICF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ICOFR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BTH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ERM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Risiko Perusahaan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BTH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ORM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Risiko Operasional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BTH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KRI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Indikator Risiko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BTH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LED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Loss Event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BTH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INC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Insiden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BTH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CMP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Kepatuhan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BTH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POL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Kebijakan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BS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ITG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Tata Kelola TI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ITA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Aset TI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BTH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DMS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Dokumen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IAD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Audit Internal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BTH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BTH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RPT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Pelaporan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AIA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Asisten AI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BG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BGV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BGV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BGV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BG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BG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63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ADM</w:t>
            </w:r>
          </w:p>
        </w:tc>
        <w:tc>
          <w:tcPr>
            <w:tcW w:type="dxa" w:w="1895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3"/>
                <w:szCs w:val="13"/>
              </w:rPr>
              <w:t xml:space="preserve">Administrasi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  <w:tc>
          <w:tcPr>
            <w:tcW w:type="dxa" w:w="90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  <w:tc>
          <w:tcPr>
            <w:tcW w:type="dxa" w:w="81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—</w:t>
            </w:r>
          </w:p>
        </w:tc>
        <w:tc>
          <w:tcPr>
            <w:tcW w:type="dxa" w:w="722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</w:t>
            </w:r>
          </w:p>
        </w:tc>
        <w:tc>
          <w:tcPr>
            <w:tcW w:type="dxa" w:w="72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3"/>
                <w:szCs w:val="13"/>
              </w:rPr>
              <w:t xml:space="preserve">BTH</w:t>
            </w:r>
          </w:p>
        </w:tc>
      </w:tr>
    </w:tbl>
    <w:p>
      <w:pPr>
        <w:spacing w:after="14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Dua baris layak diperhatikan. Modul IAD (Audit Internal) tidak dapat diakses Pemilik Kontrol sama sekali — unit yang diperiksa tidak melihat kertas kerja pemeriksanya. Modul ADM hanya terbuka bagi Administrator dan Direksi, dan Direksi hanya membaca.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20" w:footer="560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6. MATRIKS PEMISAHAN TUGAS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Kombinasi peran yang tidak boleh dipegang satu orang. Matriks ini ditegakkan pada tahap pemberian peran — sistem menolak menyimpan kombinasi bertanda silang, bukan menolak saat pengguna mencoba bekerja.</w:t>
      </w:r>
    </w:p>
    <w:p>
      <w:pPr>
        <w:spacing w:after="60" w:before="140"/>
        <w:jc w:val="center"/>
      </w:pPr>
      <w:r>
        <w:drawing>
          <wp:inline distT="0" distB="0" distL="0" distR="0">
            <wp:extent cx="5095875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left"/>
      </w:pPr>
      <w:r>
        <w:rPr>
          <w:rFonts w:ascii="Calibri" w:cs="Calibri" w:eastAsia="Calibri" w:hAnsi="Calibri"/>
          <w:i/>
          <w:iCs/>
          <w:color w:val="5C6B7E"/>
          <w:sz w:val="17"/>
          <w:szCs w:val="17"/>
        </w:rPr>
        <w:t xml:space="preserve">Gambar 6.1 — Matriks pemisahan tugas. Silang merah berarti kombinasi ditolak sistem; tanda seru emas berarti diizinkan hanya dengan persetujuan Direktur Kepatuhan.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440" w:right="1440" w:bottom="1440" w:left="1440" w:header="720" w:footer="560" w:gutter="0"/>
          <w:pgNumType/>
          <w:docGrid w:linePitch="360"/>
        </w:sectPr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1083"/>
        <w:gridCol w:w="5777"/>
      </w:tblGrid>
      <w:tr>
        <w:trPr>
          <w:tblHeader/>
        </w:trP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Konflik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Aturan</w:t>
            </w:r>
          </w:p>
        </w:tc>
        <w:tc>
          <w:tcPr>
            <w:tcW w:type="dxa" w:w="5777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Alasan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Pemilik Kontrol × SKAI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BRL-001</w:t>
            </w:r>
          </w:p>
        </w:tc>
        <w:tc>
          <w:tcPr>
            <w:tcW w:type="dxa" w:w="577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Seseorang tidak boleh menguji pengendalian yang ia laksanakan sendiri. Ini adalah pemisahan tugas yang paling mendasar pada ICOFR.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Pemilik Kontrol × UKK ICOFR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BRL-001</w:t>
            </w:r>
          </w:p>
        </w:tc>
        <w:tc>
          <w:tcPr>
            <w:tcW w:type="dxa" w:w="577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Yang dinilai tidak boleh menjadi yang menilai. UKK ICOFR mengevaluasi CSA yang diisi Lini 1.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UKK ICOFR × SKAI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Three Lines</w:t>
            </w:r>
          </w:p>
        </w:tc>
        <w:tc>
          <w:tcPr>
            <w:tcW w:type="dxa" w:w="577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Lini 2 menetapkan klasifikasi; Lini 3 menguji secara independen. Penggabungan meniadakan independensi pengujian.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Administrator × peran fungsional apa pun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SEC-011</w:t>
            </w:r>
          </w:p>
        </w:tc>
        <w:tc>
          <w:tcPr>
            <w:tcW w:type="dxa" w:w="577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Administrator dapat memberi hak kepada dirinya sendiri. Pemisahan ini menutup jalur peningkatan hak yang tidak terdeteksi.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Direksi × SKAI / Auditor Internal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Three Lines</w:t>
            </w:r>
          </w:p>
        </w:tc>
        <w:tc>
          <w:tcPr>
            <w:tcW w:type="dxa" w:w="577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Penandatangan atestasi tidak boleh menjadi penguji yang menjadi dasar atestasi tersebut.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Direksi × Lini 2 (perlu persetujuan)</w:t>
            </w:r>
          </w:p>
        </w:tc>
        <w:tc>
          <w:tcPr>
            <w:tcW w:type="dxa" w:w="1083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—</w:t>
            </w:r>
          </w:p>
        </w:tc>
        <w:tc>
          <w:tcPr>
            <w:tcW w:type="dxa" w:w="5777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Pada organisasi berukuran sedang, seorang Direktur dapat merangkap pengawasan Lini 2. Diizinkan dengan persetujuan tercatat, bukan dilarang mutlak.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 w:color="auto" w:sz="0"/>
              <w:left w:val="single" w:color="C0891F" w:sz="24"/>
              <w:bottom w:val="none" w:color="auto" w:sz="0"/>
              <w:right w:val="none" w:color="auto" w:sz="0"/>
            </w:tcBorders>
            <w:shd w:fill="F6ECD4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3366B"/>
                <w:sz w:val="20"/>
                <w:szCs w:val="20"/>
              </w:rPr>
              <w:t xml:space="preserve">Pemeriksaan Berjalan Dua Kali, pada Dua Waktu</w:t>
            </w:r>
          </w:p>
          <w:p>
            <w:pPr>
              <w:spacing w:after="40" w:line="264"/>
              <w:jc w:val="both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Pertama, saat pemberian peran: sistem menolak menyimpan kombinasi konflik dan menyatakan peran mana yang bertentangan.</w:t>
            </w:r>
          </w:p>
          <w:p>
            <w:pPr>
              <w:spacing w:after="40" w:line="264"/>
              <w:jc w:val="both"/>
            </w:pPr>
            <w:r>
              <w:rPr>
                <w:rFonts w:ascii="Calibri" w:cs="Calibri" w:eastAsia="Calibri" w:hAnsi="Calibri"/>
                <w:color w:val="20293A"/>
                <w:sz w:val="19"/>
                <w:szCs w:val="19"/>
              </w:rPr>
              <w:t xml:space="preserve">Kedua, saat penugasan tugas: penyaring pemisahan tugas membuang kandidat yang terlibat pada langkah sebelumnya (DOK-21 Bab 4). Pemeriksaan kedua diperlukan karena konflik dapat muncul dari riwayat pekerjaan, bukan hanya dari kombinasi peran — misalnya penguji yang sebelumnya menyusun rencana remediasi atas defisiensi yang sama.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7. ATRIBUT &amp; ROW-LEVEL SECURITY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Peran menentukan jenis pekerjaan; atribut menentukan cakupannya. Empat atribut melekat pada setiap sesi pengguna dan diteruskan ke basis data sebagai parameter Row-Level Security.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2166"/>
        <w:gridCol w:w="4694"/>
      </w:tblGrid>
      <w:tr>
        <w:trPr>
          <w:tblHeader/>
        </w:trP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Atribut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Sumber</w:t>
            </w:r>
          </w:p>
        </w:tc>
        <w:tc>
          <w:tcPr>
            <w:tcW w:type="dxa" w:w="469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Menentukan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unit_organisasi_id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Active Directory Bank</w:t>
            </w:r>
          </w:p>
        </w:tc>
        <w:tc>
          <w:tcPr>
            <w:tcW w:type="dxa" w:w="469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Baris kontrol, pengujian, dan defisiensi unit mana yang terlihat.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tingkat_organisasi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Struktur jabatan</w:t>
            </w:r>
          </w:p>
        </w:tc>
        <w:tc>
          <w:tcPr>
            <w:tcW w:type="dxa" w:w="469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Apakah pengguna melihat unit bawahannya. Kepala divisi melihat seluruh unit di bawahnya.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periode_akses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Penugasan ICOFR</w:t>
            </w:r>
          </w:p>
        </w:tc>
        <w:tc>
          <w:tcPr>
            <w:tcW w:type="dxa" w:w="469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Periode buku mana yang dapat diubah. Periode terkunci hanya dapat dibaca oleh siapa pun.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tingkat_kerahasiaan</w:t>
            </w:r>
          </w:p>
        </w:tc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Peran + penugasan</w:t>
            </w:r>
          </w:p>
        </w:tc>
        <w:tc>
          <w:tcPr>
            <w:tcW w:type="dxa" w:w="469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Klasifikasi dokumen tertinggi yang dapat diunduh.</w:t>
            </w:r>
          </w:p>
        </w:tc>
      </w:tr>
    </w:tbl>
    <w:p>
      <w:pPr>
        <w:spacing w:after="140"/>
      </w:pPr>
    </w:p>
    <w:tbl>
      <w:tblPr>
        <w:tblW w:type="dxa" w:w="9026"/>
        <w:tblBorders>
          <w:top w:val="single" w:color="D3DCEA" w:sz="2"/>
          <w:left w:val="single" w:color="C0891F" w:sz="18"/>
          <w:bottom w:val="single" w:color="D3DCEA" w:sz="2"/>
          <w:right w:val="single" w:color="D3DCEA" w:sz="2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2F5FA" w:color="auto" w:val="clear"/>
            <w:tcMar>
              <w:top w:type="dxa" w:w="130"/>
              <w:left w:type="dxa" w:w="170"/>
              <w:bottom w:type="dxa" w:w="13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i/>
                <w:iCs/>
                <w:color w:val="5C6B7E"/>
                <w:sz w:val="15"/>
                <w:szCs w:val="15"/>
              </w:rPr>
              <w:t xml:space="preserve">-- Contoh kebijakan RLS pada icofr.pengujian (DOK-07 §3.4)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i w:val="false"/>
                <w:iCs w:val="false"/>
                <w:color w:val="20293A"/>
                <w:sz w:val="15"/>
                <w:szCs w:val="15"/>
              </w:rPr>
              <w:t xml:space="preserve">CREATE POLICY pengujian_cakupan ON icofr.pengujian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i w:val="false"/>
                <w:iCs w:val="false"/>
                <w:color w:val="20293A"/>
                <w:sz w:val="15"/>
                <w:szCs w:val="15"/>
              </w:rPr>
              <w:t xml:space="preserve">  USING 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i w:val="false"/>
                <w:iCs w:val="false"/>
                <w:color w:val="20293A"/>
                <w:sz w:val="15"/>
                <w:szCs w:val="15"/>
              </w:rPr>
              <w:t xml:space="preserve">    current_setting('icop.peran') = 'PR-05'          -- SKAI melihat seluruh unit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i w:val="false"/>
                <w:iCs w:val="false"/>
                <w:color w:val="20293A"/>
                <w:sz w:val="15"/>
                <w:szCs w:val="15"/>
              </w:rPr>
              <w:t xml:space="preserve">    OR unit_organisasi_id IN (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i w:val="false"/>
                <w:iCs w:val="false"/>
                <w:color w:val="20293A"/>
                <w:sz w:val="15"/>
                <w:szCs w:val="15"/>
              </w:rPr>
              <w:t xml:space="preserve">      SELECT id FROM inti.unit_organisasi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i w:val="false"/>
                <w:iCs w:val="false"/>
                <w:color w:val="20293A"/>
                <w:sz w:val="15"/>
                <w:szCs w:val="15"/>
              </w:rPr>
              <w:t xml:space="preserve">      WHERE jalur &lt;@ current_setting('icop.unit_jalur')::ltree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i w:val="false"/>
                <w:iCs w:val="false"/>
                <w:color w:val="20293A"/>
                <w:sz w:val="15"/>
                <w:szCs w:val="15"/>
              </w:rPr>
              <w:t xml:space="preserve">    )</w:t>
            </w:r>
          </w:p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i w:val="false"/>
                <w:iCs w:val="false"/>
                <w:color w:val="20293A"/>
                <w:sz w:val="15"/>
                <w:szCs w:val="15"/>
              </w:rPr>
              <w:t xml:space="preserve">  );</w:t>
            </w:r>
          </w:p>
        </w:tc>
      </w:tr>
    </w:tbl>
    <w:p>
      <w:pPr>
        <w:spacing w:after="180" w:before="60"/>
        <w:jc w:val="left"/>
      </w:pPr>
      <w:r>
        <w:rPr>
          <w:rFonts w:ascii="Calibri" w:cs="Calibri" w:eastAsia="Calibri" w:hAnsi="Calibri"/>
          <w:i/>
          <w:iCs/>
          <w:color w:val="5C6B7E"/>
          <w:sz w:val="17"/>
          <w:szCs w:val="17"/>
        </w:rPr>
        <w:t xml:space="preserve">Kode 7.1 — RLS memakai jalur hierarki organisasi, sehingga kepala unit otomatis melihat unit bawahannya tanpa pemberian hak tambahan.</w:t>
      </w:r>
    </w:p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8. DELEGASI &amp; AKSES DARURAT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8.1 Delegasi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Ketentuan</w:t>
            </w:r>
          </w:p>
        </w:tc>
        <w:tc>
          <w:tcPr>
            <w:tcW w:type="dxa" w:w="6860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Keterangan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Yang dapat didelegasikan</w:t>
            </w:r>
          </w:p>
        </w:tc>
        <w:tc>
          <w:tcPr>
            <w:tcW w:type="dxa" w:w="686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Tugas operasional: pengisian CSA, unggahan bukti, pelaksanaan pengujian.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Yang tidak dapat didelegasikan</w:t>
            </w:r>
          </w:p>
        </w:tc>
        <w:tc>
          <w:tcPr>
            <w:tcW w:type="dxa" w:w="686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Penandatanganan atestasi, penguncian periode, persetujuan klasifikasi, dan validasi draf AI. Keempatnya adalah pernyataan pribadi, bukan pekerjaan.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Batas waktu</w:t>
            </w:r>
          </w:p>
        </w:tc>
        <w:tc>
          <w:tcPr>
            <w:tcW w:type="dxa" w:w="686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Maksimum 30 hari, dengan tanggal berakhir wajib diisi. Delegasi tanpa batas waktu tidak tersedia.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Pemeriksaan SoD</w:t>
            </w:r>
          </w:p>
        </w:tc>
        <w:tc>
          <w:tcPr>
            <w:tcW w:type="dxa" w:w="686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Delegasi tunduk pada matriks Bab 6. Delegasi yang menimbulkan konflik ditolak.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Jejak</w:t>
            </w:r>
          </w:p>
        </w:tc>
        <w:tc>
          <w:tcPr>
            <w:tcW w:type="dxa" w:w="686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Tindakan penerima delegasi tercatat atas namanya sendiri, dengan penanda bertindak atas nama siapa. Tidak pernah tercatat seolah dilakukan pemberi delegasi.</w:t>
            </w:r>
          </w:p>
        </w:tc>
      </w:tr>
    </w:tbl>
    <w:p>
      <w:pPr>
        <w:spacing w:after="140"/>
      </w:pP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4A8A"/>
          <w:sz w:val="24"/>
          <w:szCs w:val="24"/>
        </w:rPr>
        <w:t xml:space="preserve">8.2 Akses Darurat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Akses darurat ("break-glass") tersedia untuk keadaan ketika pemegang kewenangan tidak dapat dihubungi dan tenggat regulasi mendesak.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Ketentuan</w:t>
            </w:r>
          </w:p>
        </w:tc>
        <w:tc>
          <w:tcPr>
            <w:tcW w:type="dxa" w:w="6860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Keterangan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Yang dapat diberikan</w:t>
            </w:r>
          </w:p>
        </w:tc>
        <w:tc>
          <w:tcPr>
            <w:tcW w:type="dxa" w:w="686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Hanya scope baca. Tidak ada akses darurat untuk menulis, menyetujui, menandatangani, atau mengunci.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Persetujuan</w:t>
            </w:r>
          </w:p>
        </w:tc>
        <w:tc>
          <w:tcPr>
            <w:tcW w:type="dxa" w:w="686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Dua orang: Direktur Kepatuhan dan CISO. Persetujuan satu orang tidak cukup.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Durasi</w:t>
            </w:r>
          </w:p>
        </w:tc>
        <w:tc>
          <w:tcPr>
            <w:tcW w:type="dxa" w:w="686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Maksimum 4 jam, tidak dapat diperpanjang. Perpanjangan berarti permintaan baru dengan persetujuan baru.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Pemberitahuan</w:t>
            </w:r>
          </w:p>
        </w:tc>
        <w:tc>
          <w:tcPr>
            <w:tcW w:type="dxa" w:w="686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Seluruh anggota Direksi dan Kepala SKAI menerima pemberitahuan segera — bukan laporan bulanan.</w:t>
            </w:r>
          </w:p>
        </w:tc>
      </w:tr>
      <w:tr>
        <w:tc>
          <w:tcPr>
            <w:tcW w:type="dxa" w:w="216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5"/>
                <w:szCs w:val="15"/>
              </w:rPr>
              <w:t xml:space="preserve">Reviu pasca-kejadian</w:t>
            </w:r>
          </w:p>
        </w:tc>
        <w:tc>
          <w:tcPr>
            <w:tcW w:type="dxa" w:w="686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5"/>
                <w:szCs w:val="15"/>
              </w:rPr>
              <w:t xml:space="preserve">Setiap pemakaian ditinjau Komite Audit pada rapat terdekat, beserta seluruh tindakan yang dilakukan selama masa akses.</w:t>
            </w:r>
          </w:p>
        </w:tc>
      </w:tr>
    </w:tbl>
    <w:p>
      <w:pPr>
        <w:spacing w:after="14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0293A"/>
          <w:sz w:val="21"/>
          <w:szCs w:val="21"/>
        </w:rPr>
        <w:t xml:space="preserve">Ketiadaan akses darurat untuk menulis adalah keputusan yang disengaja. Bila tenggat regulasi mendesak dan pemegang kewenangan tidak dapat dihubungi, jalan keluarnya adalah penunjukan pejabat pengganti melalui prosedur kepegawaian — bukan pemberian hak sementara yang melewati pemisahan tugas.</w:t>
      </w:r>
    </w:p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9. TATA KELOLA HAK AKSES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6"/>
        <w:gridCol w:w="1444"/>
        <w:gridCol w:w="1986"/>
        <w:gridCol w:w="3610"/>
      </w:tblGrid>
      <w:tr>
        <w:trPr>
          <w:tblHeader/>
        </w:trP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Kegiatan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Frekuensi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Pelaksana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Keluaran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Reviu hak akses menyeluruh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Semesteran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UKK ICOFR + Administrator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Daftar akun beserta peran, ditandatangani kepala unit masing-masing.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Reviu akun istimewa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Triwulanan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CISO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Daftar pemegang icofr.kunci dan Administrator.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Pencabutan akun keluar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Harian, otomatis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Integrasi Active Directory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Akun dinonaktifkan pada hari terakhir bekerja; peran tetap tercatat di jejak audit.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Reviu konflik SoD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Bulanan, otomatis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Sistem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Laporan kombinasi peran yang melanggar matriks Bab 6 — seharusnya selalu nihil.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Reviu akses darurat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Setiap kejadian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Komite Audit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Catatan rapat beserta penilaian kelayakan pemakaian.</w:t>
            </w:r>
          </w:p>
        </w:tc>
      </w:tr>
      <w:tr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4"/>
                <w:szCs w:val="14"/>
              </w:rPr>
              <w:t xml:space="preserve">Rekonsiliasi ke ITGC</w:t>
            </w:r>
          </w:p>
        </w:tc>
        <w:tc>
          <w:tcPr>
            <w:tcW w:type="dxa" w:w="1444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Tahunan</w:t>
            </w:r>
          </w:p>
        </w:tc>
        <w:tc>
          <w:tcPr>
            <w:tcW w:type="dxa" w:w="198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SKAI</w:t>
            </w:r>
          </w:p>
        </w:tc>
        <w:tc>
          <w:tcPr>
            <w:tcW w:type="dxa" w:w="361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293A"/>
                <w:sz w:val="14"/>
                <w:szCs w:val="14"/>
              </w:rPr>
              <w:t xml:space="preserve">Bukti pengujian ITG-002 (pemberian &amp; pencabutan hak akses).</w:t>
            </w:r>
          </w:p>
        </w:tc>
      </w:tr>
    </w:tbl>
    <w:p>
      <w:pPr>
        <w:spacing w:after="14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0293A"/>
          <w:sz w:val="21"/>
          <w:szCs w:val="21"/>
        </w:rPr>
        <w:t xml:space="preserve">Baris terakhir menutup lingkaran: hak akses pada platform ICOFR itu sendiri merupakan ITGC yang diuji pada platform yang sama. Pengujian ITG-002 memakai data pemberian dan pencabutan hak akses yang tercatat di jejak audit sistem ini.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96"/>
        <w:gridCol w:w="3430"/>
      </w:tblGrid>
      <w:tr>
        <w:trPr>
          <w:tblHeader/>
        </w:trPr>
        <w:tc>
          <w:tcPr>
            <w:tcW w:type="dxa" w:w="5596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Pemeriksaan</w:t>
            </w:r>
          </w:p>
        </w:tc>
        <w:tc>
          <w:tcPr>
            <w:tcW w:type="dxa" w:w="3430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Hasil</w:t>
            </w:r>
          </w:p>
        </w:tc>
      </w:tr>
      <w:tr>
        <w:tc>
          <w:tcPr>
            <w:tcW w:type="dxa" w:w="559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Peran tanpa scope yang ditetapkan</w:t>
            </w:r>
          </w:p>
        </w:tc>
        <w:tc>
          <w:tcPr>
            <w:tcW w:type="dxa" w:w="343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6"/>
                <w:szCs w:val="16"/>
              </w:rPr>
              <w:t xml:space="preserve">Nihil dari 8</w:t>
            </w:r>
          </w:p>
        </w:tc>
      </w:tr>
      <w:tr>
        <w:tc>
          <w:tcPr>
            <w:tcW w:type="dxa" w:w="559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Scope tanpa pemetaan peran</w:t>
            </w:r>
          </w:p>
        </w:tc>
        <w:tc>
          <w:tcPr>
            <w:tcW w:type="dxa" w:w="343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6"/>
                <w:szCs w:val="16"/>
              </w:rPr>
              <w:t xml:space="preserve">Nihil dari 10</w:t>
            </w:r>
          </w:p>
        </w:tc>
      </w:tr>
      <w:tr>
        <w:tc>
          <w:tcPr>
            <w:tcW w:type="dxa" w:w="559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Modul tanpa baris pada matriks akses</w:t>
            </w:r>
          </w:p>
        </w:tc>
        <w:tc>
          <w:tcPr>
            <w:tcW w:type="dxa" w:w="343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6"/>
                <w:szCs w:val="16"/>
              </w:rPr>
              <w:t xml:space="preserve">Nihil dari 17</w:t>
            </w:r>
          </w:p>
        </w:tc>
      </w:tr>
      <w:tr>
        <w:tc>
          <w:tcPr>
            <w:tcW w:type="dxa" w:w="559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Administrator memiliki scope fungsional</w:t>
            </w:r>
          </w:p>
        </w:tc>
        <w:tc>
          <w:tcPr>
            <w:tcW w:type="dxa" w:w="343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6"/>
                <w:szCs w:val="16"/>
              </w:rPr>
              <w:t xml:space="preserve">Nihil — dan tidak akan pernah</w:t>
            </w:r>
          </w:p>
        </w:tc>
      </w:tr>
      <w:tr>
        <w:tc>
          <w:tcPr>
            <w:tcW w:type="dxa" w:w="559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Akses darurat yang dapat menulis</w:t>
            </w:r>
          </w:p>
        </w:tc>
        <w:tc>
          <w:tcPr>
            <w:tcW w:type="dxa" w:w="343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6"/>
                <w:szCs w:val="16"/>
              </w:rPr>
              <w:t xml:space="preserve">Nihil</w:t>
            </w:r>
          </w:p>
        </w:tc>
      </w:tr>
      <w:tr>
        <w:tc>
          <w:tcPr>
            <w:tcW w:type="dxa" w:w="5596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0293A"/>
                <w:sz w:val="16"/>
                <w:szCs w:val="16"/>
              </w:rPr>
              <w:t xml:space="preserve">Kewenangan pernyataan pribadi yang dapat didelegasikan</w:t>
            </w:r>
          </w:p>
        </w:tc>
        <w:tc>
          <w:tcPr>
            <w:tcW w:type="dxa" w:w="3430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8E63"/>
                <w:sz w:val="16"/>
                <w:szCs w:val="16"/>
              </w:rPr>
              <w:t xml:space="preserve">Nihil dari 4</w:t>
            </w:r>
          </w:p>
        </w:tc>
      </w:tr>
    </w:tbl>
    <w:p>
      <w:pPr>
        <w:pStyle w:val="Heading1"/>
        <w:pageBreakBefore/>
        <w:pBdr>
          <w:bottom w:val="single" w:color="C0891F" w:sz="12" w:space="6"/>
        </w:pBdr>
        <w:spacing w:after="200" w:before="0"/>
      </w:pPr>
      <w:r>
        <w:rPr>
          <w:rFonts w:ascii="Cambria" w:cs="Cambria" w:eastAsia="Cambria" w:hAnsi="Cambria"/>
          <w:b/>
          <w:bCs/>
          <w:color w:val="13366B"/>
          <w:sz w:val="30"/>
          <w:szCs w:val="30"/>
        </w:rPr>
        <w:t xml:space="preserve">LEMBAR PERSETUJUAN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0293A"/>
          <w:sz w:val="21"/>
          <w:szCs w:val="21"/>
        </w:rPr>
        <w:t xml:space="preserve">Dengan menandatangani lembar ini, para pihak menyatakan bahwa peran, matriks kewenangan, matriks pemisahan tugas, serta ketentuan delegasi dan akses darurat sebagaimana ditetapkan merupakan rancangan yang benar dan mengikat.</w:t>
      </w:r>
    </w:p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9"/>
        <w:gridCol w:w="2708"/>
        <w:gridCol w:w="3249"/>
      </w:tblGrid>
      <w:tr>
        <w:trPr>
          <w:tblHeader/>
        </w:trP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C0891F" w:sz="8"/>
              <w:right w:val="single" w:color="D3DCEA" w:sz="2"/>
            </w:tcBorders>
            <w:shd w:fill="1336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Tanda Tangan &amp; Tanggal</w:t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Disusun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Konsultan — Seraya Institute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Direviu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Ketua UKK ICOFR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Direviu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Kepala SKAI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Direviu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Chief Information Security Officer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Disetujui oleh</w:t>
            </w:r>
          </w:p>
          <w:p>
            <w:pPr>
              <w:spacing w:after="40" w:before="2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>Direktur Kepatuhan</w:t>
            </w:r>
          </w:p>
        </w:tc>
        <w:tc>
          <w:tcPr>
            <w:tcW w:type="dxa" w:w="2708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  <w:tc>
          <w:tcPr>
            <w:tcW w:type="dxa" w:w="3249"/>
            <w:tcBorders>
              <w:top w:val="single" w:color="D3DCEA" w:sz="2"/>
              <w:left w:val="single" w:color="D3DCEA" w:sz="2"/>
              <w:bottom w:val="single" w:color="D3DCEA" w:sz="2"/>
              <w:right w:val="single" w:color="D3DCEA" w:sz="2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40" w:line="252"/>
              <w:jc w:val="left"/>
            </w:pPr>
            <w:r>
              <w:rPr>
                <w:rFonts w:ascii="Calibri" w:cs="Calibri" w:eastAsia="Calibri" w:hAnsi="Calibri"/>
                <w:color w:val="20293A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line="276"/>
        <w:jc w:val="center"/>
      </w:pPr>
      <w:r>
        <w:rPr>
          <w:rFonts w:ascii="Calibri" w:cs="Calibri" w:eastAsia="Calibri" w:hAnsi="Calibri"/>
          <w:i/>
          <w:iCs/>
          <w:color w:val="5C6B7E"/>
          <w:sz w:val="21"/>
          <w:szCs w:val="21"/>
        </w:rPr>
        <w:t xml:space="preserve">— Akhir Dokumen DOK-20 —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A" w:sz="6" w:space="4"/>
      </w:pBdr>
      <w:tabs>
        <w:tab w:val="right" w:pos="9026"/>
      </w:tabs>
      <w:spacing w:before="40"/>
    </w:pPr>
    <w:r>
      <w:rPr>
        <w:rFonts w:ascii="Calibri" w:cs="Calibri" w:eastAsia="Calibri" w:hAnsi="Calibri"/>
        <w:color w:val="5C6B7E"/>
        <w:sz w:val="15"/>
        <w:szCs w:val="15"/>
      </w:rPr>
      <w:t xml:space="preserve">DOK-20 · Role &amp; Permission Matrix · v1.0 · Seraya Institute</w:t>
    </w:r>
    <w:r>
      <w:tab/>
    </w:r>
    <w:r>
      <w:rPr>
        <w:rFonts w:ascii="Calibri" w:cs="Calibri" w:eastAsia="Calibri" w:hAnsi="Calibri"/>
        <w:color w:val="5C6B7E"/>
        <w:sz w:val="15"/>
        <w:szCs w:val="15"/>
      </w:rPr>
      <w:t xml:space="preserve">Hal. </w:t>
    </w:r>
    <w:r>
      <w:rPr>
        <w:rFonts w:ascii="Calibri" w:cs="Calibri" w:eastAsia="Calibri" w:hAnsi="Calibri"/>
        <w:b/>
        <w:bCs/>
        <w:color w:val="1336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E"/>
        <w:sz w:val="15"/>
        <w:szCs w:val="15"/>
      </w:rPr>
      <w:t xml:space="preserve"> / </w:t>
    </w:r>
    <w:r>
      <w:rPr>
        <w:rFonts w:ascii="Calibri" w:cs="Calibri" w:eastAsia="Calibri" w:hAnsi="Calibri"/>
        <w:color w:val="5C6B7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A" w:sz="6" w:space="4"/>
      </w:pBdr>
      <w:tabs>
        <w:tab w:val="right" w:pos="13954"/>
      </w:tabs>
      <w:spacing w:before="40"/>
    </w:pPr>
    <w:r>
      <w:rPr>
        <w:rFonts w:ascii="Calibri" w:cs="Calibri" w:eastAsia="Calibri" w:hAnsi="Calibri"/>
        <w:color w:val="5C6B7E"/>
        <w:sz w:val="15"/>
        <w:szCs w:val="15"/>
      </w:rPr>
      <w:t xml:space="preserve">DOK-20 · Role &amp; Permission Matrix · v1.0 · Seraya Institute</w:t>
    </w:r>
    <w:r>
      <w:tab/>
    </w:r>
    <w:r>
      <w:rPr>
        <w:rFonts w:ascii="Calibri" w:cs="Calibri" w:eastAsia="Calibri" w:hAnsi="Calibri"/>
        <w:color w:val="5C6B7E"/>
        <w:sz w:val="15"/>
        <w:szCs w:val="15"/>
      </w:rPr>
      <w:t xml:space="preserve">Hal. </w:t>
    </w:r>
    <w:r>
      <w:rPr>
        <w:rFonts w:ascii="Calibri" w:cs="Calibri" w:eastAsia="Calibri" w:hAnsi="Calibri"/>
        <w:b/>
        <w:bCs/>
        <w:color w:val="1336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E"/>
        <w:sz w:val="15"/>
        <w:szCs w:val="15"/>
      </w:rPr>
      <w:t xml:space="preserve"> / </w:t>
    </w:r>
    <w:r>
      <w:rPr>
        <w:rFonts w:ascii="Calibri" w:cs="Calibri" w:eastAsia="Calibri" w:hAnsi="Calibri"/>
        <w:color w:val="5C6B7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CEA" w:sz="6" w:space="4"/>
      </w:pBdr>
      <w:tabs>
        <w:tab w:val="right" w:pos="9026"/>
      </w:tabs>
      <w:spacing w:before="40"/>
    </w:pPr>
    <w:r>
      <w:rPr>
        <w:rFonts w:ascii="Calibri" w:cs="Calibri" w:eastAsia="Calibri" w:hAnsi="Calibri"/>
        <w:color w:val="5C6B7E"/>
        <w:sz w:val="15"/>
        <w:szCs w:val="15"/>
      </w:rPr>
      <w:t xml:space="preserve">DOK-20 · Role &amp; Permission Matrix · v1.0 · Seraya Institute</w:t>
    </w:r>
    <w:r>
      <w:tab/>
    </w:r>
    <w:r>
      <w:rPr>
        <w:rFonts w:ascii="Calibri" w:cs="Calibri" w:eastAsia="Calibri" w:hAnsi="Calibri"/>
        <w:color w:val="5C6B7E"/>
        <w:sz w:val="15"/>
        <w:szCs w:val="15"/>
      </w:rPr>
      <w:t xml:space="preserve">Hal. </w:t>
    </w:r>
    <w:r>
      <w:rPr>
        <w:rFonts w:ascii="Calibri" w:cs="Calibri" w:eastAsia="Calibri" w:hAnsi="Calibri"/>
        <w:b/>
        <w:bCs/>
        <w:color w:val="13366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B7E"/>
        <w:sz w:val="15"/>
        <w:szCs w:val="15"/>
      </w:rPr>
      <w:t xml:space="preserve"> / </w:t>
    </w:r>
    <w:r>
      <w:rPr>
        <w:rFonts w:ascii="Calibri" w:cs="Calibri" w:eastAsia="Calibri" w:hAnsi="Calibri"/>
        <w:color w:val="5C6B7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CEA" w:sz="6" w:space="4"/>
      </w:pBdr>
      <w:tabs>
        <w:tab w:val="right" w:pos="9026"/>
      </w:tabs>
      <w:spacing w:after="40"/>
    </w:pPr>
    <w:r>
      <w:rPr>
        <w:rFonts w:ascii="Calibri" w:cs="Calibri" w:eastAsia="Calibri" w:hAnsi="Calibri"/>
        <w:b/>
        <w:bCs/>
        <w:color w:val="13366B"/>
        <w:spacing w:val="20"/>
        <w:sz w:val="16"/>
        <w:szCs w:val="16"/>
      </w:rPr>
      <w:t xml:space="preserve">ICOP GRC PLATFORM</w:t>
    </w:r>
    <w:r>
      <w:tab/>
    </w:r>
    <w:r>
      <w:rPr>
        <w:rFonts w:ascii="Calibri" w:cs="Calibri" w:eastAsia="Calibri" w:hAnsi="Calibri"/>
        <w:color w:val="9C6C11"/>
        <w:sz w:val="16"/>
        <w:szCs w:val="16"/>
      </w:rPr>
      <w:t xml:space="preserve">RAHASIA &amp; TERBATAS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CEA" w:sz="6" w:space="4"/>
      </w:pBdr>
      <w:tabs>
        <w:tab w:val="right" w:pos="13954"/>
      </w:tabs>
      <w:spacing w:after="40"/>
    </w:pPr>
    <w:r>
      <w:rPr>
        <w:rFonts w:ascii="Calibri" w:cs="Calibri" w:eastAsia="Calibri" w:hAnsi="Calibri"/>
        <w:b/>
        <w:bCs/>
        <w:color w:val="13366B"/>
        <w:spacing w:val="20"/>
        <w:sz w:val="16"/>
        <w:szCs w:val="16"/>
      </w:rPr>
      <w:t xml:space="preserve">ICOP GRC PLATFORM</w:t>
    </w:r>
    <w:r>
      <w:tab/>
    </w:r>
    <w:r>
      <w:rPr>
        <w:rFonts w:ascii="Calibri" w:cs="Calibri" w:eastAsia="Calibri" w:hAnsi="Calibri"/>
        <w:color w:val="9C6C11"/>
        <w:sz w:val="16"/>
        <w:szCs w:val="16"/>
      </w:rPr>
      <w:t xml:space="preserve">RAHASIA &amp; TERBATAS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CEA" w:sz="6" w:space="4"/>
      </w:pBdr>
      <w:tabs>
        <w:tab w:val="right" w:pos="9026"/>
      </w:tabs>
      <w:spacing w:after="40"/>
    </w:pPr>
    <w:r>
      <w:rPr>
        <w:rFonts w:ascii="Calibri" w:cs="Calibri" w:eastAsia="Calibri" w:hAnsi="Calibri"/>
        <w:b/>
        <w:bCs/>
        <w:color w:val="13366B"/>
        <w:spacing w:val="20"/>
        <w:sz w:val="16"/>
        <w:szCs w:val="16"/>
      </w:rPr>
      <w:t xml:space="preserve">ICOP GRC PLATFORM</w:t>
    </w:r>
    <w:r>
      <w:tab/>
    </w:r>
    <w:r>
      <w:rPr>
        <w:rFonts w:ascii="Calibri" w:cs="Calibri" w:eastAsia="Calibri" w:hAnsi="Calibri"/>
        <w:color w:val="9C6C11"/>
        <w:sz w:val="16"/>
        <w:szCs w:val="16"/>
      </w:rPr>
      <w:t xml:space="preserve">RAHASIA &amp; TERBATAS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0891F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720" w:hanging="220"/>
      </w:pPr>
      <w:rPr>
        <w:color w:val="5C6B7E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13366B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760" w:hanging="260"/>
      </w:pPr>
      <w:rPr>
        <w:color w:val="1B4A8A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9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3366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B4A8A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E5A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ed12b9a0934884dcaa26cdc7862e897fc7a07de5.png"/><Relationship Id="rId14" Type="http://schemas.openxmlformats.org/officeDocument/2006/relationships/image" Target="media/7ea3f1bfe633659dae7af4bad4ec6e5f06b54ce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DOK-20 · Role &amp; Permission Matrix · v1.0 · Seraya Institute</dc:title>
  <dc:creator>Seraya Institute</dc:creator>
  <cp:lastModifiedBy>Un-named</cp:lastModifiedBy>
  <cp:revision>1</cp:revision>
  <dcterms:created xsi:type="dcterms:W3CDTF">2026-07-19T00:53:59.139Z</dcterms:created>
  <dcterms:modified xsi:type="dcterms:W3CDTF">2026-07-19T00:53:59.139Z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