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5B2D8E"/>
          <w:sz w:val="52"/>
          <w:szCs w:val="52"/>
        </w:rPr>
        <w:t xml:space="preserve">DefendIT360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333333"/>
          <w:sz w:val="26"/>
          <w:szCs w:val="26"/>
        </w:rPr>
        <w:t xml:space="preserve">ICOP — Integrated Cybersecurity Operations Platform</w:t>
      </w:r>
    </w:p>
    <w:p>
      <w:pPr>
        <w:spacing w:after="200" w:before="200"/>
        <w:jc w:val="center"/>
      </w:pPr>
      <w:r>
        <w:rPr>
          <w:rFonts w:ascii="Arial" w:cs="Arial" w:eastAsia="Arial" w:hAnsi="Arial"/>
          <w:color w:val="EEEEEE"/>
          <w:sz w:val="20"/>
          <w:szCs w:val="20"/>
        </w:rPr>
        <w:t xml:space="preserve">──────────────────────────────────────────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3E1F6B"/>
          <w:sz w:val="32"/>
          <w:szCs w:val="32"/>
        </w:rPr>
        <w:t xml:space="preserve">PRE-DEVELOPMENT DECISION RECORD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Keputusan Strategis Sebelum Pembangunan Sistem</w:t>
      </w:r>
    </w:p>
    <w:p>
      <w:pPr>
        <w:spacing w:after="80" w:before="4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Versi 1.0  |  Mei 2026  |  CONFIDENTIAL — Internal</w:t>
      </w:r>
    </w:p>
    <w:p>
      <w:r>
        <w:br w:type="page"/>
      </w:r>
    </w:p>
    <w:p>
      <w:pPr>
        <w:pStyle w:val="Heading1"/>
        <w:pBdr>
          <w:bottom w:val="single" w:color="5B2D8E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RINGKASAN STATUS KEPUTUSAN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200"/>
        <w:gridCol w:w="4726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Keputusan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Ringkasan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Rate Card &amp; Formula Dinamis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FINAL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Agile formula dengan indexer CPI/FX/Market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Approval Matrix &amp; DoA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FINAL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Level: Manager → VP → Direktur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Template Laporan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DITETAPKAN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Supply dari Sistem VAPT/SOC via API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 Migration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⏳ DEFERRED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Dilakukan menyusul setelah DB live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NDA &amp; PKS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⏳ DEFERRED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Draft email → klien tanda tangan → upload ICOP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 Terms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FINAL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 opsi terbuka, negotiable per quotation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Klausul Denda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FINAL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permil / hari (0.1%)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Digital Signature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FINAL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Internal: built-in ICOP | Eksternal &gt;100jt: Privy.id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 VAPT &amp; SOC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DITETAPKAN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 IT VAPT/SOC provide endpoint documentation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CTI Tools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REKOMENDASI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Stack 3-layer: TIP + OSINT + Brand Monitor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4"/>
                <w:szCs w:val="24"/>
              </w:rPr>
              <w:t xml:space="preserve">RATE CARD — FORMULASI AGILE &amp; DINAMIS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Rate card ICOP menggunakan pendekatan Agile Pricing dengan tiga lapisan formulasi: Base Rate Internal, Dynamic Adjustment Index (DAI), dan Client/Situational Multiplier. Sistem memungkinkan harga tetap kompetitif, melindungi margin, dan dapat di-review secara berkala tanpa rebuild sistem.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E1F6B"/>
          <w:sz w:val="24"/>
          <w:szCs w:val="24"/>
        </w:rPr>
        <w:t xml:space="preserve">1.A  Base Rate per Role &amp; Level (Domestik)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0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/ 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Range (Rp juta/MD)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(Rp juta/MD)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Junior Analyst / Tester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2.0 – 3.5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2.5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Pengalaman &lt;2 tahun, assist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Analyst / Senior Tester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3.5 – 5.5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Pengalaman 2–4 tahun, eksekusi mandiri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Senior Consultant / 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5.5 – 9.0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Pengalaman 4–7 tahun, lead project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Principal / Specialist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9.0 – 14.0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11.0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Pengalaman 7+ tahun, domain expert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 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6.0 – 10.0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7.5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Koordinasi project, 15–20% dari total MD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Head of Services / Reviewer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12.0 – 18.0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14.0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Review, sign-off laporan, advisory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💡 Catatan Base Rate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Base rate adalah harga INTERNAL (untuk BoQ internal / Floor Price calculation). Tidak ditampilkan ke klien.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Default rate digunakan oleh Pricing Engine otomatis. Manager/Head Sales dapat override.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Rate di-review dan diupdate setiap 6 bulan (Januari &amp; Juli) atau ketika ada perubahan signifikan &gt;10%.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Untuk pekerjaan Overtime / On-call: base rate x 1.5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E1F6B"/>
          <w:sz w:val="24"/>
          <w:szCs w:val="24"/>
        </w:rPr>
        <w:t xml:space="preserve">1.B  Rate Overseas / International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0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/ 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Range (USD/MD)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(USD/MD)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Junior / Analyst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800 – 1.200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1.000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 luar Jawa / non-ASEAN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Senior / 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1.500 – 2.500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2.000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 ASEAN (Malaysia, Singapore, dll)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Principal / 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2.500 – 4.000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3.000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 ASEAN atau lebih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Head of Services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4.000 – 6.000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5.000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Senior advisory, GRC, ISO oversight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🌏 Overseas Rate — Konversi ke Rupiah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Harga final ke klien overseas didenominasikan dalam USD, bukan Rupiah.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BoQ internal menggunakan kurs BI tengah pada tanggal quotation + safety buffer 3% (lihat DAI Section 1.C).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Komponen Akomodasi, Transportasi, Per Diem dihitung terpisah di BoQ dan ditagih at-cost + 10% handling fee.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E1F6B"/>
          <w:sz w:val="24"/>
          <w:szCs w:val="24"/>
        </w:rPr>
        <w:t xml:space="preserve">1.C  Dynamic Adjustment Index (DAI) — Formula Agile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DAI adalah koefisien penyesuaian otomatis yang diterapkan pada Base Rate untuk menghasilkan harga yang responsif terhadap kondisi eksternal dan internal. Formula: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5B2D8E" w:sz="6"/>
              <w:left w:val="single" w:color="5B2D8E" w:sz="6"/>
              <w:bottom w:val="single" w:color="5B2D8E" w:sz="6"/>
              <w:right w:val="single" w:color="5B2D8E" w:sz="6"/>
            </w:tcBorders>
            <w:shd w:fill="1A0533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39DDB"/>
                <w:sz w:val="22"/>
                <w:szCs w:val="22"/>
              </w:rPr>
              <w:t xml:space="preserve">Effective Rate  =  Base Rate  ×  DAI  ×  Client Tier Multiplier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 </w:t>
            </w:r>
          </w:p>
          <w:p>
            <w:pPr>
              <w:spacing w:after="60" w:before="40"/>
              <w:jc w:val="center"/>
            </w:pPr>
            <w:r>
              <w:rPr>
                <w:rFonts w:ascii="Courier New" w:cs="Courier New" w:eastAsia="Courier New" w:hAnsi="Courier New"/>
                <w:color w:val="E1BEE7"/>
                <w:sz w:val="20"/>
                <w:szCs w:val="20"/>
              </w:rPr>
              <w:t xml:space="preserve">DAI  =  w₁(CPI_idx) + w₂(FX_idx) + w₃(Market_idx) + w₄(Urgency_idx)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Komponen DAI — Detail Formula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4000"/>
        <w:gridCol w:w="29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Bobot (w)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&amp; Parameter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Contoh Kalkulasi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CPI_idx
(Inflasi)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w₁ = 40%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CPI_idx = 1 + ((CPI_now − CPI_base) / CPI_base)
CPI_base = CPI pada saat rate card terakhir di-review
CPI_now = CPI BPS bulan berjalan
Cap: maksimum ±0.15 (±15% adjustment dari inflasi)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CPI Jan 2026 = 105.2, CPI Base (Jul 2025) = 103.0
CPI_idx = 1 + (105.2−103.0)/103.0 = 1.021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FX_idx
(Nilai Tukar)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w₂ = 30%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FX_idx = 1 + ((USD_now − USD_base) / USD_base) × 0.5
USD_base = kurs BI rata-rata bulan rate card terakhir
Faktor 0.5: hedging karena tidak 100% biaya berbasis USD
Cap: maksimum ±0.20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USD_base = Rp 16.000, USD_now = Rp 16.800
Delta = +5%
FX_idx = 1 + 5% × 0.5 = 1.025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Market_idx
(Market Rate)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w₃ = 20%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Review manual semi-tahunan oleh Head Services.
Skala 0.90 – 1.15 berdasarkan:
• Survey harga kompetitor (konsultan cybersec lokal)
• Tingkat permintaan pasar VAPT/SOC Indonesia
• Ketersediaan tenaga ahli (demand vs supply talent)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Kuartal Q1 2026: pasar VAPT tumbuh, talenta langka
Market_idx = 1.08 (Head Services set manual)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Urgency_idx
(Rush Premium)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w₄ = 10%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Timeline ≥ 2 minggu: Urgency_idx = 1.00 (normal)
Timeline &lt; 2 minggu: Urgency_idx = 1.25 (rush +25%)
Timeline &lt; 1 minggu: Urgency_idx = 1.40 (emergency)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 kickoff &lt; 2 minggu: Urgency = 1.25
Effective rate +25% dari standard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Contoh Kalkulasi End-to-End — Senior Consultant, Proyek Domestik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13"/>
        <w:gridCol w:w="3013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Parameter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Nilai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19"/>
                <w:szCs w:val="19"/>
              </w:rPr>
              <w:t xml:space="preserve">Catatan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Base Rate (Senior)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Rp 7.000.000 / 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Default rate card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CPI_idx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Inflasi YoY ~2.1%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FX_idx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USD naik ~5% × hedging 0.5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Market_idx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Demand tinggi, Q1 2026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Urgency_idx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Timeline normal ≥2 minggu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DAI = (0.4×1.021)+(0.3×1.025)+(0.2×1.08)+(0.1×1.0)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1.038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Blended DAI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Client Tier Multiplier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Tier S (Bank BUKU III/IV)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Effective Rate = 7jt × 1.038 × 1.30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Rp 9.446.200 / 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≈ Rp 9.45 juta/MD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Floor Price (margin 20%)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Rp 7.000.000 / 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Tidak boleh di bawah ini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Standard Price (margin 35%)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Rp 9.446.200 / 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Harga proposal normal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Premium Price (margin 45%)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Rp 11.807.750 / 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Standard × 1.25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E1F6B"/>
          <w:sz w:val="24"/>
          <w:szCs w:val="24"/>
        </w:rPr>
        <w:t xml:space="preserve">1.D  Client Tier Multiplier (sesuai BRD v2.0)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3400"/>
        <w:gridCol w:w="3226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Multiplier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Kriteria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Contoh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 — Premium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1.30 – 1.50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Bank BUKU III/IV, BUMN Strategis, Tbk &gt;10T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BSI, Mandiri, BNI, Pertamina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 — Standard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1.00 (base)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Bank BUKU I/II, BPD, Multifinance, Sekuritas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Bank Jateng, Trimegah, BFI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 — Value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0.85 – 0.95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BPR, Fintech startup, Swasta menengah kecil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BPR Nusamba, SME fintech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 — Overseas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2.00 – 2.50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Klien luar negeri, project overseas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ASEAN, Middle East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 — Gov/Tender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0.70 – 0.90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Pemerintah, BUMN non-strategis via LPSE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Kementerian, BUMN tier 2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 — Channel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0.75 – 0.85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Via mitra reseller (wholesale partner)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Diskon khusus mitra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E1F6B"/>
          <w:sz w:val="24"/>
          <w:szCs w:val="24"/>
        </w:rPr>
        <w:t xml:space="preserve">1.E  Jadwal Review Rate Card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📅 Rate Card Review Calendar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Review Reguler: Januari &amp; Juli setiap tahun (semi-tahunan)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Review Triggered: Jika CPI berubah &gt;5% atau USD/IDR berubah &gt;10% dari base — trigger review darurat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PIC Review: Head Services + Head Sales + Finance Manager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Approval Perubahan Rate: VP Operations (perubahan &lt;10%) | Direktur (perubahan ≥10%)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Data Sources: BPS (CPI), BI (kurs), Survey pasar internal (Market_idx)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Berlaku efektif: tanggal 1 bulan setelah approval — semua quotation baru menggunakan rate baru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4"/>
                <w:szCs w:val="24"/>
              </w:rPr>
              <w:t xml:space="preserve">APPROVAL MATRIX &amp; DELEGATION OF AUTHORITY (DoA)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Approval matrix ICOP dirancang untuk 3 level jabatan yang saat ini ada di DefendIT360: Manager, VP, dan Direktur. Setiap level memiliki batas wewenang dan eskalasi yang jelas.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10"/>
        <w:gridCol w:w="300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👔  MANAGER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D1B3F0"/>
                <w:sz w:val="18"/>
                <w:szCs w:val="18"/>
              </w:rPr>
              <w:t xml:space="preserve">Level 1 — Operational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E1F6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🏢  VP / HEAD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B39DDB"/>
                <w:sz w:val="18"/>
                <w:szCs w:val="18"/>
              </w:rPr>
              <w:t xml:space="preserve">Level 2 — Strategic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53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⭐  DIREKTUR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CE93D8"/>
                <w:sz w:val="18"/>
                <w:szCs w:val="18"/>
              </w:rPr>
              <w:t xml:space="preserve">Level 3 — C-Level Authority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E1F6B"/>
          <w:sz w:val="24"/>
          <w:szCs w:val="24"/>
        </w:rPr>
        <w:t xml:space="preserve">2.A  Tabel Delegation of Authority (DoA)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42"/>
        <w:gridCol w:w="2142"/>
        <w:gridCol w:w="2142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Jenis Keputusan / Transaksi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Manager (Level 1)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VP / Head (Level 2)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Direktur (Level 3)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Approval Proposal / Quotation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≤ Rp 50 juta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Rp 50 juta – 500 juta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 Rp 500 juta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Diskon dari Standard Price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≤ 5%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5% – 15%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 15%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Penerbitan Invoice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Semua termin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Review jika terlambat &gt;7 HK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Eskalasi jika terlambat &gt;14 HK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Approval Kontrak / PKS Baru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Nilai ≤ Rp 50 juta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Rp 50 juta – 250 juta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 Rp 250 juta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Perpanjangan Kontrak MRC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Renewal otomatis sama term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Jika ada perubahan scope/harga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Jika perubahan &gt;20% nilai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Write-off Piutang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≤ Rp 25 juta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 Rp 25 juta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Approval Channel Partner Baru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Submit data partner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Approve onboarding + PKS Channel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Approve partner tier SI/Terintegrasi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Approval Diskon Channel Partner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≤ 5% dari wholesale rate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 5% atau penambahan tier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Override Client Tier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Satu level naik/turun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Dua level (misal B→S)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Tier D→S atau C-Overseas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Approval Rate Card Override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±3% dari effective rate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±3% – ±10%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 ±10% atau rate baru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Approval Penambahan Scope (CRF)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≤ Rp 25 juta tambahan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Rp 25 juta – 100 juta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 Rp 100 juta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Sign-off Laporan VAPT (Approval)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Senior/Lead sign review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Head Services final approve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Untuk Tier S atau nilai &gt; 500jt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Go/No-Go Tender Decision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Submit form registrasi tender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Review DKP, final Go/No-Go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Tender nilai &gt; Rp 1 miliar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Approval Eskalasi SLA Breach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Notif ke klien &lt;1 HK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Approve kompensasi/credit</w:t>
            </w:r>
          </w:p>
        </w:tc>
        <w:tc>
          <w:tcPr>
            <w:tcW w:type="dxa" w:w="2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Eskalasi jika kompensasi &gt; 50jt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E1F6B"/>
          <w:sz w:val="24"/>
          <w:szCs w:val="24"/>
        </w:rPr>
        <w:t xml:space="preserve">2.B  Alur Approval di ICOP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⚡ Alur Approval Otomatis ICOP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 TRIGGER: Sistem deteksi nilai/aksi yang membutuhkan approval berdasarkan DoA table.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2. ROUTING: ICOP otomatis routing notifikasi ke level approver yang tepat (Manager/VP/Direktur).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3. NOTIFIKASI: Push notification + WhatsApp ke approver dengan ringkasan data dan link approval.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4. SLA APPROVAL: Manager = 4 jam kerja | VP = 8 jam kerja | Direktur = 1×24 jam.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5. ESKALASI: Jika tidak direspons dalam SLA → notifikasi ke level berikutnya (auto-escalate).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6. AUDIT TRAIL: Setiap approval/reject dicatat dengan timestamp, user, dan alasan (jika reject).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7. PARALLEL APPROVAL: Untuk kontrak, butuh approval Finance Manager + Head Sales bersamaan.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E1F6B"/>
          <w:sz w:val="24"/>
          <w:szCs w:val="24"/>
        </w:rPr>
        <w:t xml:space="preserve">2.C  SLA Response Approval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2026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Jenis Approval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SLA Respons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Jika Melewati SLA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 Notif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Proposal / Quotation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Manager/VP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 jam kerja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Auto-escalate ke VP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Notif WA + in-app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Kontrak / PKS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VP/Direktur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 jam kerja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Auto-escalate ke Direktur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Notif WA + email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Invoice Penerbitan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Manager Finance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jam kerja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Notif Head Sales + Direktur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Notif in-app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Diskon &gt; Standard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VP/Direktur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 jam kerja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Hold quotation, notif Sales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 urgent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Go/No-Go Tender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VP (deadline-driven)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Sebelum deadline H-3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Direktur final call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 + email alert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Sign-off Laporan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Head Services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HK post draft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PM + Direktur notified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In-app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03–05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4"/>
                <w:szCs w:val="24"/>
              </w:rPr>
              <w:t xml:space="preserve">ITEM DEFERRED: TEMPLATE LAPORAN, DATA MIGRATION &amp; NDA/PKS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E1F6B"/>
          <w:sz w:val="24"/>
          <w:szCs w:val="24"/>
        </w:rPr>
        <w:t xml:space="preserve">3 — Template Laporan (via API Integration)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Keputusan: Template Disupply dari Sistem Eksisting via API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ICOP TIDAK membangun template laporan secara native.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Semua template laporan (VAPT, SOC Monthly Report, Retest Report) disupply dari: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 → Sistem VAPT Eksisting (untuk laporan pentest, retest, findings summary)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 → Sistem SOC Eksisting (untuk alert summary, SLA metrics, monthly report PDF)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Mekanisme: Pull via GET /api/reports/{id}/download | Webhook trigger saat laporan approved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Format output: Encrypted PDF → disimpan di ICOP storage → dikirim ke Client Portal + WA/email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PIC: Tim IT VAPT &amp; Tim IT SOC menyediakan endpoint + autentikasi API sebelum Fase 2 development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E1F6B"/>
          <w:sz w:val="24"/>
          <w:szCs w:val="24"/>
        </w:rPr>
        <w:t xml:space="preserve">4 — Data Migration (Deferred)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⏳ Keputusan: Data Migration Dilakukan Menyusul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Data 18 klien aktif dan pipeline existing akan dimigrasi setelah database schema ICOP live.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Mekanisme migrasi: via database yang telah dibuat — bukan manual import Excel.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Fase migrasi mengikuti rencana awal BRD: Inventarisasi → Cleaning → Import Dev → Go-Live.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PIC: Admin + Finance untuk inventarisasi | IT untuk eksekusi import ke DB.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Blocking condition: migration TIDAK boleh dilakukan sebelum schema DB final di-freeze (post Fase 1).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E1F6B"/>
          <w:sz w:val="24"/>
          <w:szCs w:val="24"/>
        </w:rPr>
        <w:t xml:space="preserve">5 — NDA &amp; PKS (Deferred — via Email + Upload Flow)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⏳ Keputusan: NDA/PKS via Email Draft → Upload ke ICOP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Alur yang ditetapkan: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 1. Sales / Admin membuat draft NDA atau PKS dari template yang ada.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 2. Draft dikirimkan ke calon klien via email.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 3. Klien tanda tangan (basah atau digital sesuai ketentuan).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 4. Dokumen scan/digital diunggah ke ICOP pada halaman opportunity/contract.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 5. ICOP mencatat status: Draft Sent → Signed Received → Active.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Template NDA Mitra dan PKS Channel akan disampaikan dan di-upload setelah finalisasi oleh Legal.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Digital signature berlaku sesuai ketentuan Pasal 8 (lihat Keputusan 08 di bawah).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4"/>
                <w:szCs w:val="24"/>
              </w:rPr>
              <w:t xml:space="preserve">PAYMENT TERMS — SEMUA OPSI TERBUKA (NEGOTIABLE)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Payment terms bersifat fleksibel dan negotiable pada saat pembuatan quotation. ICOP menampilkan semua opsi dan Pre-Sales/Sales memilih skema yang sesuai dengan klien. Semua skema tersimpan di sistem dan men-trigger automation invoice sesuai milestone yang relevan.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1400"/>
        <w:gridCol w:w="1800"/>
        <w:gridCol w:w="1900"/>
        <w:gridCol w:w="1200"/>
        <w:gridCol w:w="2076"/>
      </w:tblGrid>
      <w:tr>
        <w:trPr>
          <w:tblHeader/>
        </w:trPr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Nama Skema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Mekanisme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Kapan Digunakan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Kode Sistem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Invoice ICOP</w:t>
            </w:r>
          </w:p>
        </w:tc>
      </w:tr>
      <w:tr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PT-1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100% Upfront
(Full DP)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100% tagih sebelum pekerjaan dimulai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Klien korporasi dengan anggaran pra-alokasi
• Project nilai kecil (&lt;50 juta)
• Klien baru tanpa track record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PT-1 (100% DP)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Invoice 100% saat PKS ditandatangani</w:t>
            </w:r>
          </w:p>
        </w:tc>
      </w:tr>
      <w:tr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PT-2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100% Post-Delivery
(Full Delivery)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100% tagih setelah semua deliverable diterima + BAST ditandatangani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Klien pemerintah tertentu
• Project dengan SLA ketat
• Negosiasi khusus Direktur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PT-2 (0/100)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Invoice 100% saat BAST Final signed</w:t>
            </w:r>
          </w:p>
        </w:tc>
      </w:tr>
      <w:tr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PT-3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Termin
30/50/20
(Default PKS)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DP 30% saat PKS → Progress 50% saat laporan approved → Final 20% saat BAST + retest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Default untuk project VAPT &gt; 3 bulan
• Standard PKS DefendIT360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PT-3 (30/50/20)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Invoice T1 saat PKS | T2 saat laporan approved | T3 saat BAST</w:t>
            </w:r>
          </w:p>
        </w:tc>
      </w:tr>
      <w:tr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PT-4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Termin
30/60/10
(Quotation Alternatif)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DP 30% → 60% saat laporan final → 10% saat BAST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Klien yang butuh cashflow lebih besar di tengah
• Project dengan deliverable report besar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PT-4 (30/60/10)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Invoice T1 saat PKS | T2 saat laporan approved | T3 saat BAST</w:t>
            </w:r>
          </w:p>
        </w:tc>
      </w:tr>
      <w:tr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PT-5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Monthly Subscription
(dengan Sub Fee awal)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Setup fee / subscription fee dibayar di awal, kemudian monthly fee rutin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Layanan SOC/MDR berlangganan
• CTI monthly subscription
• DPO as a 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PT-5 (SUB+MRC)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Invoice Sub Fee saat aktivasi | Invoice MRC tiap tgl 1 bulan berjalan</w:t>
            </w:r>
          </w:p>
        </w:tc>
      </w:tr>
      <w:tr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PT-6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Monthly Subscription
(tanpa Sub Fee)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Monthly fee rutin saja, tanpa biaya awal / setup fee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Upsell ke klien existing
• Renewal perpanjangan kontrak
• Klien negosiasi hapus setup fee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PT-6 (MRC only)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Invoice MRC tiap tgl 1 bulan berjalan mulai bulan ke-1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📋 Aturan Payment Terms di ICOP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Default sistem: PT-3 (30/50/20). Pre-Sales/Sales dapat mengubah saat membuat quotation.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Perubahan ke PT-2 (100% post-delivery) atau PT-6 (tanpa sub fee): butuh approval VP.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Skema PT-4 ke atas untuk nilai &gt; Rp 500 juta: butuh approval Direktur.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Klausul keterlambatan pembayaran berlaku di semua skema: denda 1 permil/hari dari nilai invoice tertunggak.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Untuk klien pemerintah (Tier D), payment terms mengikuti mekanisme LS atau GU sesuai APBN/APBD.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Mixed payment: dimungkinkan (contoh: SOC bulanan + VAPT 3 termin) — dibuat dua quotation terpisah.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07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4"/>
                <w:szCs w:val="24"/>
              </w:rPr>
              <w:t xml:space="preserve">KLAUSUL DENDA — 1 PERMIL PER HARI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16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KLIEN kepada DefendIT360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FFCDD2"/>
                <w:sz w:val="18"/>
                <w:szCs w:val="18"/>
              </w:rPr>
              <w:t xml:space="preserve">Denda Keterlambatan Pembayaran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6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DefendIT360 kepada KLIEN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FFE0B2"/>
                <w:sz w:val="18"/>
                <w:szCs w:val="18"/>
              </w:rPr>
              <w:t xml:space="preserve">Denda Keterlambatan Deliverable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Besaran: 1 permil (0,1%) per hari keterlambatan dari nilai invoice tertunggak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Mulai dihitung: hari ke-1 setelah jatuh tempo invoice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Cap maksimum: 5% dari nilai invoice (50 hari)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Di atas cap: DefendIT360 dapat suspend layanan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Besaran: 1 permil (0,1%) per hari keterlambatan dari nilai termin/deliverable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Mulai dihitung: hari ke-1 setelah SLA deliverable terlewati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Cap maksimum: 5% dari nilai kontrak (sesuai Perpres 16/2018 untuk proyek Gov)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Force majeure tidak kena denda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E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Contoh: Invoice Rp 100.000.000 terlambat 10 hari → Denda = Rp 100.000.000 × 0,1% × 10 = Rp 1.000.000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⚙️ Implementasi Denda di ICOP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ICOP otomatis menghitung akumulasi denda keterlambatan pembayaran per invoice.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Alert Dunning: H+3, H+7, H+14 setelah jatuh tempo (WA + email).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Denda muncul sebagai line item terpisah di invoice berikutnya (tidak mengubah invoice lama).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Approval write-off denda: VP ≤ Rp 25 juta | Direktur &gt; Rp 25 juta.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Untuk proyek tender/pemerintah: cap denda mengikuti regulasi Perpres 12/2021 pasal 56.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08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4"/>
                <w:szCs w:val="24"/>
              </w:rPr>
              <w:t xml:space="preserve">DIGITAL SIGNATURE — SKEMA INTERNAL &amp; EKSTERNAL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8"/>
        <w:gridCol w:w="2409"/>
        <w:gridCol w:w="2409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Internal</w:t>
            </w:r>
          </w:p>
        </w:tc>
        <w:tc>
          <w:tcPr>
            <w:tcW w:type="dxa" w:w="24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Eksternal ≤ 100 Juta</w:t>
            </w:r>
          </w:p>
        </w:tc>
        <w:tc>
          <w:tcPr>
            <w:tcW w:type="dxa" w:w="24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Eksternal &gt; 100 Juta (Privy.id)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Konteks</w:t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Dokumen Internal
(antar tim DefendIT360)</w:t>
            </w:r>
          </w:p>
        </w:tc>
        <w:tc>
          <w:tcPr>
            <w:tcW w:type="dxa" w:w="24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Konteks Eksternal Nilai ≤ Rp 100 Juta
(dengan klien)</w:t>
            </w:r>
          </w:p>
        </w:tc>
        <w:tc>
          <w:tcPr>
            <w:tcW w:type="dxa" w:w="24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Konteks Eksternal Nilai &gt; Rp 100 Juta
(dengan klien)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Mekanisme TTD</w:t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Built-in ICOP
(tanpa vendor pihak ketiga)</w:t>
            </w:r>
          </w:p>
        </w:tc>
        <w:tc>
          <w:tcPr>
            <w:tcW w:type="dxa" w:w="24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Built-in ICOP atau QES lokal
(opsional, tergantung klien)</w:t>
            </w:r>
          </w:p>
        </w:tc>
        <w:tc>
          <w:tcPr>
            <w:tcW w:type="dxa" w:w="24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Privy.id
(Qualified Electronic Signature)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Vendor / Platform</w:t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ICOP native signature
(internal only)</w:t>
            </w:r>
          </w:p>
        </w:tc>
        <w:tc>
          <w:tcPr>
            <w:tcW w:type="dxa" w:w="24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ICOP native atau simple e-sign</w:t>
            </w:r>
          </w:p>
        </w:tc>
        <w:tc>
          <w:tcPr>
            <w:tcW w:type="dxa" w:w="24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Privy.id (terdaftar BSSN/Kominfo)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Biaya</w:t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Rp 0 (built-in)</w:t>
            </w:r>
          </w:p>
        </w:tc>
        <w:tc>
          <w:tcPr>
            <w:tcW w:type="dxa" w:w="24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Rp 0 – minimal</w:t>
            </w:r>
          </w:p>
        </w:tc>
        <w:tc>
          <w:tcPr>
            <w:tcW w:type="dxa" w:w="24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 tanda tangan (pricing Privy.id berlaku)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Kekuatan Hukum</w:t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Bukti internal, SPJ project</w:t>
            </w:r>
          </w:p>
        </w:tc>
        <w:tc>
          <w:tcPr>
            <w:tcW w:type="dxa" w:w="24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Persetujuan operasional</w:t>
            </w:r>
          </w:p>
        </w:tc>
        <w:tc>
          <w:tcPr>
            <w:tcW w:type="dxa" w:w="24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Setara akta otentik (UU ITE Ps. 11)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Contoh Dokumen</w:t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PKS internal, Kickoff Minutes,
Project Plan, BAST internal</w:t>
            </w:r>
          </w:p>
        </w:tc>
        <w:tc>
          <w:tcPr>
            <w:tcW w:type="dxa" w:w="24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NDA awal, MoU, Quotation acceptance
untuk nilai kecil</w:t>
            </w:r>
          </w:p>
        </w:tc>
        <w:tc>
          <w:tcPr>
            <w:tcW w:type="dxa" w:w="24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PKS, Kontrak layanan, BAST final,
Addendum kontrak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🔐 Implementasi di ICOP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Dokumen yang membutuhkan TTD akan memiliki flag 'requires_signature' + field 'signature_type' (internal/privy).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Untuk Privy.id: ICOP generate link Privy langsung dari modul kontrak. Tidak perlu keluar dari ICOP.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Audit trail TTD: timestamp, IP, identitas penanda tangan tersimpan di ICOP.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Budget Privy.id: dikelola oleh Admin/Finance. Penggunaan harus di-log per dokumen.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Privy.id threshold (&gt;100 juta) dapat di-override oleh Direktur untuk kebutuhan tertentu.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09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4"/>
                <w:szCs w:val="24"/>
              </w:rPr>
              <w:t xml:space="preserve">API VAPT &amp; SOC — SPESIFIKASI INTEGRASI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Keputusan: API disediakan oleh Tim IT VAPT &amp; SOC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ICOP bertindak sebagai orchestrator — BUKAN rebuilding sistem VAPT/SOC.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Tim IT VAPT dan Tim IT SOC wajib menyediakan API endpoint documentation sebelum Fase 2 development.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Semua koneksi menggunakan: API Key + IP Whitelist + TLS 1.3 (jaringan internal).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E1F6B"/>
          <w:sz w:val="24"/>
          <w:szCs w:val="24"/>
        </w:rPr>
        <w:t xml:space="preserve">9.A  Endpoint Wajib — Sistem VAPT ke ICOP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37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Arah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Fungsi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/api/projects/{id}/status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VAPT → ICOP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 milestone di ICOP dashboard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/api/projects/{id}/findings/summary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VAPT → ICOP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KPI pentest, risk posture klien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 /icop/webhook/report-approved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VAPT → ICOP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Trigger invoice T2 + notif klien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/api/reports/{id}/download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VAPT → ICOP → Portal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Publish ke Client Portal encrypted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 /api/projects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ICOP → VAPT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Push project + tim ke VAPT saat kickoff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E1F6B"/>
          <w:sz w:val="24"/>
          <w:szCs w:val="24"/>
        </w:rPr>
        <w:t xml:space="preserve">9.B  Endpoint Wajib — Sistem SOC ke ICOP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37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Arah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Fungsi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/api/clients/{id}/alerts/daily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SOC → ICOP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Dashboard SOC di ICOP &amp; Client Portal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/api/clients/{id}/sla/metrics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SOC → ICOP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KPI SOC analyst, SLA breach dashboard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/api/reports/monthly/{client}/{month}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SOC → ICOP → Portal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Publish + trigger notif WA/email tgl 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 /icop/webhook/incident-critical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SOC → ICOP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ICOP trigger notif klien P1/P2 dalam 2 menit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 /api/clients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ICOP → SOC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Push klien baru ke SOC saat kontrak aktif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📌 Prinsip Integrasi API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Internal only: tidak ada koneksi langsung portal klien ke VAPT/SOC (ICOP sebagai gateway).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Webhook untuk real-time events: report approved, P1 incident, project complete.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Polling interval: 15–60 menit untuk summary data | Redis cache 15 menit untuk performa.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Graceful degradation: jika API unavailable → tampilkan last cached data + timestamp.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Audit log: setiap API call dicatat (timestamp, endpoint, payload hash, HTTP status).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Tim IT VAPT/SOC harus provide: Swagger/OpenAPI docs + test environment sebelum Fase 2.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4"/>
                <w:szCs w:val="24"/>
              </w:rPr>
              <w:t xml:space="preserve">CTI TOOLS — REKOMENDASI STACK UNTUK DefendIT360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Rekomendasi CTI stack berdasarkan profil DefendIT360 sebagai MSSP mid-market targeting FSI Indonesia, dengan pertimbangan coverage ASEAN, integrasi SIEM, biaya operasional, dan kesiapan regulasi Indonesia (BSSN, SEOJK, PBI).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E1F6B"/>
          <w:sz w:val="24"/>
          <w:szCs w:val="24"/>
        </w:rPr>
        <w:t xml:space="preserve">10.A  Arsitektur CTI Stack (3 Layer)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10"/>
        <w:gridCol w:w="300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B3F0"/>
                <w:sz w:val="18"/>
                <w:szCs w:val="18"/>
              </w:rPr>
              <w:t xml:space="preserve">Layer 1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 INTELLIGENCE
PLATFORM (TIP)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B39DDB"/>
                <w:sz w:val="17"/>
                <w:szCs w:val="17"/>
              </w:rPr>
              <w:t xml:space="preserve">Aggregasi + Analisis
IOC terpusat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97B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2EBF2"/>
                <w:sz w:val="18"/>
                <w:szCs w:val="18"/>
              </w:rPr>
              <w:t xml:space="preserve">Layer 2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DARK WEB &amp;
OSINT MONITORING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B2EBF2"/>
                <w:sz w:val="17"/>
                <w:szCs w:val="17"/>
              </w:rPr>
              <w:t xml:space="preserve">Data leakage, credential
exposure, APT tracking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E0B2"/>
                <w:sz w:val="18"/>
                <w:szCs w:val="18"/>
              </w:rPr>
              <w:t xml:space="preserve">Layer 3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BRAND &amp; DOMAIN
MONITORING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FFE0B2"/>
                <w:sz w:val="17"/>
                <w:szCs w:val="17"/>
              </w:rPr>
              <w:t xml:space="preserve">Typosquat, phishing kit,
brand impersonation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E1F6B"/>
          <w:sz w:val="24"/>
          <w:szCs w:val="24"/>
        </w:rPr>
        <w:t xml:space="preserve">10.B  Rekomendasi Tools per Layer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000"/>
        <w:gridCol w:w="900"/>
        <w:gridCol w:w="900"/>
        <w:gridCol w:w="2700"/>
        <w:gridCol w:w="2426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Biaya/bln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Kapabilitas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Rekomendasi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MISP
(Open Source)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Layer 1 — TIP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⭐⭐⭐⭐⭐
WAJIB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Gratis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Platform sharing IOC standar STIX/TAXII
• Integrasi ke semua SIEM mayor (Splunk, QRadar, Wazuh, Sentinel)
• Connect ke BSSN NCIIPC untuk sharing intel lokal
• Community Indonesia aktif (CSIRT, BSSN)
• Self-hosted — data tidak keluar dari infrastruktur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Foundation CTI stack. Gratis, sudah matang, cocok untuk MSSP. HARUS ada sebagai core platform.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OpenCTI
(Open Source)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Layer 1 — TIP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⭐⭐⭐⭐
DISARANKAN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Gratis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UI lebih modern dari MISP
• Graph-based relationship analysis (ATT&amp;CK mapping)
• Connectors ke MISP, Shodan, VirusTotal, AlienVault OTX
• Ideal untuk analyst team, lebih visual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Pasangkan dengan MISP sebagai frontend analitik. MISP = backend sharing, OpenCTI = frontend analyst.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AlienVault OTX
(Free Tier)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Layer 1 — Feed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⭐⭐⭐⭐
DISARANKAN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Gratis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20 juta+ IOC dari community global
• Feed otomatis ke MISP via connector
• ASEAN threat sharing community
• API gratis, mudah diintegrasikan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 IOC feed terbaik. Pakai sebagai sumber feed ke MISP/OpenCTI. Zero cost.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Anomali ThreatStream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Layer 1 — TIP
(Komersial)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⭐⭐⭐⭐
OPSIONAL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~USD 2.000–5.000/bln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Platform komersial mid-market, ideal untuk MSSP
• Enrichment otomatis IOC + attribution
• SIEM integration native (Splunk, QRadar)
• Support STIX/TAXII, lebih curated dari OTX
• Cocok jika klien Tier S butuh enterprise-grade intel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Pertimbangkan jika ada klien Tier S (Bank BUKU III/IV) yang butuh intel premium. Bisa pass biaya ke klien.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Cybersixgill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Layer 2 — Dark Web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⭐⭐⭐⭐⭐
DISARANKAN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~USD 2.000–4.000/bln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Coverage dark web, Telegram channels, paste sites terluas untuk ASEAN
• Real-time monitoring credential dumps, data breach mentions
• IOC extraction otomatis dari dark web posts
• Alert jika data klien muncul di dark web
• Coverage bahasa Indonesia + Melayu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PILIHAN TERBAIK untuk dark web coverage Asia Tenggara. Critical untuk laporan CTI Monthly ke klien FSI.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Intel 471
(Alternatif)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Layer 2 — Dark Web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⭐⭐⭐⭐
ALTERNATIF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~USD 3.000–6.000/bln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Fokus pada actor profiling dan TTP attribution
• Lebih baik untuk APT tracking dibanding Cybersixgill
• Coverage lebih global (kurang ASEAN vs Cybersixgill)
• Cocok jika klien butuh APT attribution detail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Pertimbangkan sebagai supplement jika ada klien yang butuh APT attribution. Tidak harus keduanya.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Shodan + Censys
(Infrastructure)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Layer 2 — OSINT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⭐⭐⭐⭐
DISARANKAN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USD 899–1.500/thn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Internet-wide asset discovery untuk klien
• Exposed services, misconfigured assets
• Integration ke MISP/OpenCTI
• Berguna untuk VAPT pre-engagement reconnaissance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Valuable untuk pre-VAPT dan mendeteksi exposed assets klien. Cost sangat reasonable.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Digital Shadows
(ReliaQuest)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Layer 3 — Brand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⭐⭐⭐⭐
DISARANKAN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~USD 2.000–4.000/bln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Typosquatting detection + brand impersonation
• Phishing kit detection di dark web
• SSL certificate monitoring (suspicious domains)
• Takedown service integration
• Cocok untuk klien banking/fintech (brand-sensitive)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Terbaik untuk brand protection. Critical untuk laporan CTI ke klien FSI yang punya banyak nasabah.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DomainTools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Layer 3 — Brand
(Alternatif)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⭐⭐⭐
OPSIONAL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~USD 1.500–3.000/thn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Domain history + WHOIS intelligence
• DNS monitoring untuk typosquatting
• Lebih fokus domain intel vs full brand protection
• Alternatif lebih hemat dari Digital Shadows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Alternatif lebih murah jika budget terbatas. Fungsionalitas lebih terbatas dari Digital Shadows.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E1F6B"/>
          <w:sz w:val="24"/>
          <w:szCs w:val="24"/>
        </w:rPr>
        <w:t xml:space="preserve">10.C  Rekomendasi Stack Bertahap (Sesuai Kemampuan &amp; Fase)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2500"/>
        <w:gridCol w:w="1500"/>
        <w:gridCol w:w="31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Tools yang Diaktifkan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Estimasi Biaya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Kapabilitas yang Didapat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🚀 Fase 1
(Immediate
0-3 bulan)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WAJIB + GRATIS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MISP (self-hosted)
• OpenCTI (self-hosted)
• AlienVault OTX (free feed)
• Shodan Free / Trial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Rp 0
(hanya setup server)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Foundation CTI tersedia, laporan CTI basic bisa dibuat, integrasi ke SIEM klien aktif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📈 Fase 2
(Growth
3-6 bulan)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TAMBAH KOMERSIAL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 Cybersixgill (dark web)
+ Digital Shadows (brand)
+ Shodan Pro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~USD 5.000–8.000 / bln
(~Rp 80–130 juta/bln)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Laporan CTI lengkap, dark web monitoring, brand protection untuk klien Tier S/A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🏆 Fase 3
(Enterprise
6-12 bulan)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OPTIONAL UPGRADE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 Anomali ThreatStream (jika ada klien Tier S)
+ Intel 471 (jika butuh APT profiling)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 USD 2.000–5.000 / bln
(per klien enterprise)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Enterprise CTI service, dapat ditagihkan sebagai premium tier ke klien Tier 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💰 Model Monetisasi CTI — Cara Balik Modal Tool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CTI tools masuk sebagai komponen COGS untuk layanan CTI/ETLM bulanan.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Pricing CTI ke klien mengacu BRD Appendix A.3: Basic (10-20jt) → Standard (25-45jt) → Advanced (50-80jt) → Enterprise (90-150jt).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Stack Fase 1 (gratis) → sudah bisa jual paket CTI Basic ke klien Tier B.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Stack Fase 2 (~80-130jt/bln biaya tools) → minimal 3-4 klien Standard atau 1-2 klien Advanced untuk BEP.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Dark web alert dan brand monitoring adalah nilai jual tertinggi untuk klien banking — justifikasi mudah.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Intel premium (Anomali/Intel471) dapat dipass ke klien Tier S sebagai enterprise add-on.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🔗 Integrasi CTI ke ICOP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MISP/OpenCTI → ICOP via REST API untuk IOC enrichment di SOC dashboard.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Alert dark web (Cybersixgill) → webhook ke ICOP → notif klien P2 dalam &lt;30 menit.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Brand alert (Digital Shadows) → ICOP trigger laporan CTI + notif sales untuk upsell.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Monthly CTI report → generate di OpenCTI → PDF → pull ke ICOP via API → kirim ke Client Portal.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ICOP track CTI subscription per klien (tier, tools aktif, tanggal renewal).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PENUTUP &amp; LANGKAH SELANJUTNYA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3826"/>
        <w:gridCol w:w="19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PIC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01 Rate Card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Direktur + Head Sales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Review angka Base Rate default sesuai aktual penggajian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Minggu 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02 Approval Matrix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Management + IT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Konfirmasi user roles di ICOP sesuai jabatan nyata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Minggu 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06 Payment Terms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Finance + Legal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Konfirmasi klausul denda dan payment terms di template PKS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Minggu 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08 Digital Sign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 + IT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Setup akun Privy.id | Setup built-in sign di ICOP dev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Minggu 2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09 API Spec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 IT VAPT + SOC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Deliver Swagger/OpenAPI docs untuk semua endpoint wajib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Minggu 2–3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 CTI Tools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Head Services + IT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Deploy MISP + OpenCTI (Fase 1) | Evaluasi Cybersixgill trial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Bulan 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03 Template Laporan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 IT VAPT + SOC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Konfirmasi format output PDF dari sistem eksisting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Paralel Fase 2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04 Data Migration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 + Finance + IT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Inventarisasi 18 klien aktif dari Excel sebelum go-live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Sebelum Go-Live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05 NDA/PKS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Legal + Management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Finalisasi template NDA Mitra + PKS Channel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Bulan 2-3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DefendIT360 | ICOP Pre-Development Decision Record v1.0 | Mei 2026 | CONFIDENTIAL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B2D8E" w:sz="4" w:space="4"/>
      </w:pBdr>
      <w:spacing w:after="0" w:before="8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Halaman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dari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2D8E" w:sz="4" w:space="4"/>
      </w:pBdr>
      <w:spacing w:after="80" w:before="0"/>
    </w:pPr>
    <w:r>
      <w:rPr>
        <w:rFonts w:ascii="Arial" w:cs="Arial" w:eastAsia="Arial" w:hAnsi="Arial"/>
        <w:color w:val="666666"/>
        <w:sz w:val="16"/>
        <w:szCs w:val="16"/>
      </w:rPr>
      <w:t xml:space="preserve">DefendIT360 — ICOP Pre-Development Decision Record v1.0</w:t>
    </w:r>
    <w:r>
      <w:rPr>
        <w:rFonts w:ascii="Arial" w:cs="Arial" w:eastAsia="Arial" w:hAnsi="Arial"/>
        <w:color w:val="AAAAAA"/>
        <w:sz w:val="16"/>
        <w:szCs w:val="16"/>
      </w:rPr>
      <w:t xml:space="preserve">    |  CONFIDENTIAL —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5B2D8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E1F6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0897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2026-05-25T08:19:00.583Z</dcterms:created>
  <dcterms:modified xsi:type="dcterms:W3CDTF">2026-05-25T08:19:00.594Z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