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EduGenie | Team 6abc95cbdfc814753aa5fe42</w:t>
      </w:r>
    </w:p>
    <w:p>
      <w:pPr>
        <w:jc w:val="center"/>
      </w:pPr>
      <w:r>
        <w:rPr>
          <w:b/>
          <w:sz w:val="26"/>
        </w:rPr>
        <w:t>Code-Layout, Readability and Reusability</w:t>
      </w:r>
    </w:p>
    <w:p>
      <w:r>
        <w:rPr>
          <w:b/>
        </w:rPr>
        <w:t xml:space="preserve">Date: </w:t>
      </w:r>
      <w:r>
        <w:t>30 September 2026</w:t>
      </w:r>
    </w:p>
    <w:p>
      <w:r>
        <w:rPr>
          <w:b/>
        </w:rPr>
        <w:t xml:space="preserve">Team ID: </w:t>
      </w:r>
      <w:r>
        <w:t>6abc95cbdfc814753aa5fe42</w:t>
      </w:r>
    </w:p>
    <w:p>
      <w:r>
        <w:rPr>
          <w:b/>
        </w:rPr>
        <w:t xml:space="preserve">Project Name: </w:t>
      </w:r>
      <w:r>
        <w:t>EduGenie: Google Gemini Powered Learning Assistant</w:t>
      </w:r>
    </w:p>
    <w:p>
      <w:r>
        <w:rPr>
          <w:b/>
        </w:rPr>
        <w:t xml:space="preserve">Maximum Marks: </w:t>
      </w:r>
      <w:r>
        <w:t>5 Marks</w:t>
      </w:r>
    </w:p>
    <w:p>
      <w:r>
        <w:t>Code-Layout, Readability and Reusability:</w:t>
        <w:br/>
        <w:t>This document evaluates the quality of the EduGenie codebase in terms of its structure, readability, and reusability. Well-organized code with proper naming conventions, clear comments, modular design, and reusable learning-assistant modules helps the project remain maintainable and easier to extend in future development.</w:t>
      </w:r>
    </w:p>
    <w:p>
      <w:pPr>
        <w:pStyle w:val="Heading2"/>
      </w:pPr>
      <w:r>
        <w:t>Code Layout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Code Quality Parameter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Followed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Consistent Indentation</w:t>
            </w:r>
          </w:p>
        </w:tc>
        <w:tc>
          <w:tcPr>
            <w:tcW w:type="dxa" w:w="1728"/>
            <w:vAlign w:val="center"/>
          </w:tcPr>
          <w:p>
            <w:r>
              <w:t>Uniform spacing/tabs used throughout the code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Code files use consistent indentation and formatting, making the source easier to read and maintain.</w:t>
            </w:r>
          </w:p>
        </w:tc>
      </w:tr>
      <w:tr>
        <w:tc>
          <w:tcPr>
            <w:tcW w:type="dxa" w:w="172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Proper File Structure</w:t>
            </w:r>
          </w:p>
        </w:tc>
        <w:tc>
          <w:tcPr>
            <w:tcW w:type="dxa" w:w="1728"/>
            <w:vAlign w:val="center"/>
          </w:tcPr>
          <w:p>
            <w:r>
              <w:t>Files and folders are logically organized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The project separates UI/frontend code, Gemini interaction logic, learning features, utilities, and configuration files into logical modules.</w:t>
            </w:r>
          </w:p>
        </w:tc>
      </w:tr>
      <w:tr>
        <w:tc>
          <w:tcPr>
            <w:tcW w:type="dxa" w:w="172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Meaningful Variable Names</w:t>
            </w:r>
          </w:p>
        </w:tc>
        <w:tc>
          <w:tcPr>
            <w:tcW w:type="dxa" w:w="1728"/>
            <w:vAlign w:val="center"/>
          </w:tcPr>
          <w:p>
            <w:r>
              <w:t>Variables reflect their purpose clearly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Names such as question, prompt, response, loading, error, subject, topic and userInput clearly describe their purpose.</w:t>
            </w:r>
          </w:p>
        </w:tc>
      </w:tr>
      <w:tr>
        <w:tc>
          <w:tcPr>
            <w:tcW w:type="dxa" w:w="1728"/>
            <w:vAlign w:val="center"/>
          </w:tcPr>
          <w:p>
            <w:r>
              <w:t>4</w:t>
            </w:r>
          </w:p>
        </w:tc>
        <w:tc>
          <w:tcPr>
            <w:tcW w:type="dxa" w:w="1728"/>
            <w:vAlign w:val="center"/>
          </w:tcPr>
          <w:p>
            <w:r>
              <w:t>Function / Method Names</w:t>
            </w:r>
          </w:p>
        </w:tc>
        <w:tc>
          <w:tcPr>
            <w:tcW w:type="dxa" w:w="1728"/>
            <w:vAlign w:val="center"/>
          </w:tcPr>
          <w:p>
            <w:r>
              <w:t>Functions are descriptively named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Functions such as generateResponse, sendPrompt, validateInput, clearChat and handleSubmit clearly indicate their operations.</w:t>
            </w:r>
          </w:p>
        </w:tc>
      </w:tr>
      <w:tr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Code Comments</w:t>
            </w:r>
          </w:p>
        </w:tc>
        <w:tc>
          <w:tcPr>
            <w:tcW w:type="dxa" w:w="1728"/>
            <w:vAlign w:val="center"/>
          </w:tcPr>
          <w:p>
            <w:r>
              <w:t>Inline and block comments explain logic</w:t>
            </w:r>
          </w:p>
        </w:tc>
        <w:tc>
          <w:tcPr>
            <w:tcW w:type="dxa" w:w="1728"/>
            <w:vAlign w:val="center"/>
          </w:tcPr>
          <w:p>
            <w:r>
              <w:t>Partial</w:t>
            </w:r>
          </w:p>
        </w:tc>
        <w:tc>
          <w:tcPr>
            <w:tcW w:type="dxa" w:w="1728"/>
            <w:vAlign w:val="center"/>
          </w:tcPr>
          <w:p>
            <w:r>
              <w:t>Comments are used for important Gemini/API and learning-flow logic. Additional comments can be added around complex prompt-processing logic.</w:t>
            </w:r>
          </w:p>
        </w:tc>
      </w:tr>
      <w:tr>
        <w:tc>
          <w:tcPr>
            <w:tcW w:type="dxa" w:w="1728"/>
            <w:vAlign w:val="center"/>
          </w:tcPr>
          <w:p>
            <w:r>
              <w:t>6</w:t>
            </w:r>
          </w:p>
        </w:tc>
        <w:tc>
          <w:tcPr>
            <w:tcW w:type="dxa" w:w="1728"/>
            <w:vAlign w:val="center"/>
          </w:tcPr>
          <w:p>
            <w:r>
              <w:t>Modular Design</w:t>
            </w:r>
          </w:p>
        </w:tc>
        <w:tc>
          <w:tcPr>
            <w:tcW w:type="dxa" w:w="1728"/>
            <w:vAlign w:val="center"/>
          </w:tcPr>
          <w:p>
            <w:r>
              <w:t>Code is split into reusable functions/modules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The learning interface, Gemini interaction, validation, response handling and reusable UI elements are organized into separate modules/components where applicable.</w:t>
            </w:r>
          </w:p>
        </w:tc>
      </w:tr>
      <w:tr>
        <w:tc>
          <w:tcPr>
            <w:tcW w:type="dxa" w:w="1728"/>
            <w:vAlign w:val="center"/>
          </w:tcPr>
          <w:p>
            <w:r>
              <w:t>7</w:t>
            </w:r>
          </w:p>
        </w:tc>
        <w:tc>
          <w:tcPr>
            <w:tcW w:type="dxa" w:w="1728"/>
            <w:vAlign w:val="center"/>
          </w:tcPr>
          <w:p>
            <w:r>
              <w:t>No Redundant Code</w:t>
            </w:r>
          </w:p>
        </w:tc>
        <w:tc>
          <w:tcPr>
            <w:tcW w:type="dxa" w:w="1728"/>
            <w:vAlign w:val="center"/>
          </w:tcPr>
          <w:p>
            <w:r>
              <w:t>Duplicate or unused code is removed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Common operations such as input handling, response rendering and validation are reused instead of being duplicated.</w:t>
            </w:r>
          </w:p>
        </w:tc>
      </w:tr>
      <w:tr>
        <w:tc>
          <w:tcPr>
            <w:tcW w:type="dxa" w:w="1728"/>
            <w:vAlign w:val="center"/>
          </w:tcPr>
          <w:p>
            <w:r>
              <w:t>8</w:t>
            </w:r>
          </w:p>
        </w:tc>
        <w:tc>
          <w:tcPr>
            <w:tcW w:type="dxa" w:w="1728"/>
            <w:vAlign w:val="center"/>
          </w:tcPr>
          <w:p>
            <w:r>
              <w:t>Error Handling</w:t>
            </w:r>
          </w:p>
        </w:tc>
        <w:tc>
          <w:tcPr>
            <w:tcW w:type="dxa" w:w="1728"/>
            <w:vAlign w:val="center"/>
          </w:tcPr>
          <w:p>
            <w:r>
              <w:t>Exceptions and errors are handled gracefully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API failures, empty input, loading states and invalid requests are handled with user-friendly messages and fallback states.</w:t>
            </w:r>
          </w:p>
        </w:tc>
      </w:tr>
    </w:tbl>
    <w:p>
      <w:pPr>
        <w:pStyle w:val="Heading2"/>
      </w:pPr>
      <w:r>
        <w:t>Reusable Components /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 / Module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Language / 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 Reused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Reusability Level</w:t>
            </w:r>
          </w:p>
        </w:tc>
      </w:tr>
      <w:tr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Chat / Learning Interface Component</w:t>
            </w:r>
          </w:p>
        </w:tc>
        <w:tc>
          <w:tcPr>
            <w:tcW w:type="dxa" w:w="1728"/>
            <w:vAlign w:val="center"/>
          </w:tcPr>
          <w:p>
            <w:r>
              <w:t>React / JSX</w:t>
            </w:r>
          </w:p>
        </w:tc>
        <w:tc>
          <w:tcPr>
            <w:tcW w:type="dxa" w:w="1728"/>
            <w:vAlign w:val="center"/>
          </w:tcPr>
          <w:p>
            <w:r>
              <w:t>Main learning assistant and question-answer interaction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Response Display Component</w:t>
            </w:r>
          </w:p>
        </w:tc>
        <w:tc>
          <w:tcPr>
            <w:tcW w:type="dxa" w:w="1728"/>
            <w:vAlign w:val="center"/>
          </w:tcPr>
          <w:p>
            <w:r>
              <w:t>React / JSX</w:t>
            </w:r>
          </w:p>
        </w:tc>
        <w:tc>
          <w:tcPr>
            <w:tcW w:type="dxa" w:w="1728"/>
            <w:vAlign w:val="center"/>
          </w:tcPr>
          <w:p>
            <w:r>
              <w:t>Displays Gemini-generated explanations, answers and learning content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Input / Prompt Component</w:t>
            </w:r>
          </w:p>
        </w:tc>
        <w:tc>
          <w:tcPr>
            <w:tcW w:type="dxa" w:w="1728"/>
            <w:vAlign w:val="center"/>
          </w:tcPr>
          <w:p>
            <w:r>
              <w:t>React / JSX</w:t>
            </w:r>
          </w:p>
        </w:tc>
        <w:tc>
          <w:tcPr>
            <w:tcW w:type="dxa" w:w="1728"/>
            <w:vAlign w:val="center"/>
          </w:tcPr>
          <w:p>
            <w:r>
              <w:t>Question input and prompt submission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4</w:t>
            </w:r>
          </w:p>
        </w:tc>
        <w:tc>
          <w:tcPr>
            <w:tcW w:type="dxa" w:w="1728"/>
            <w:vAlign w:val="center"/>
          </w:tcPr>
          <w:p>
            <w:r>
              <w:t>Gemini Service / API Module</w:t>
            </w:r>
          </w:p>
        </w:tc>
        <w:tc>
          <w:tcPr>
            <w:tcW w:type="dxa" w:w="1728"/>
            <w:vAlign w:val="center"/>
          </w:tcPr>
          <w:p>
            <w:r>
              <w:t>JavaScript</w:t>
            </w:r>
          </w:p>
        </w:tc>
        <w:tc>
          <w:tcPr>
            <w:tcW w:type="dxa" w:w="1728"/>
            <w:vAlign w:val="center"/>
          </w:tcPr>
          <w:p>
            <w:r>
              <w:t>All features that communicate with Google Gemini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Validation / Utility Module</w:t>
            </w:r>
          </w:p>
        </w:tc>
        <w:tc>
          <w:tcPr>
            <w:tcW w:type="dxa" w:w="1728"/>
            <w:vAlign w:val="center"/>
          </w:tcPr>
          <w:p>
            <w:r>
              <w:t>JavaScript</w:t>
            </w:r>
          </w:p>
        </w:tc>
        <w:tc>
          <w:tcPr>
            <w:tcW w:type="dxa" w:w="1728"/>
            <w:vAlign w:val="center"/>
          </w:tcPr>
          <w:p>
            <w:r>
              <w:t>Input validation, empty-input checks and common helper functions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>
              <w:t>6</w:t>
            </w:r>
          </w:p>
        </w:tc>
        <w:tc>
          <w:tcPr>
            <w:tcW w:type="dxa" w:w="1728"/>
            <w:vAlign w:val="center"/>
          </w:tcPr>
          <w:p>
            <w:r>
              <w:t>Loading / Error UI</w:t>
            </w:r>
          </w:p>
        </w:tc>
        <w:tc>
          <w:tcPr>
            <w:tcW w:type="dxa" w:w="1728"/>
            <w:vAlign w:val="center"/>
          </w:tcPr>
          <w:p>
            <w:r>
              <w:t>React / JSX</w:t>
            </w:r>
          </w:p>
        </w:tc>
        <w:tc>
          <w:tcPr>
            <w:tcW w:type="dxa" w:w="1728"/>
            <w:vAlign w:val="center"/>
          </w:tcPr>
          <w:p>
            <w:r>
              <w:t>API request states and error messages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>
              <w:t>7</w:t>
            </w:r>
          </w:p>
        </w:tc>
        <w:tc>
          <w:tcPr>
            <w:tcW w:type="dxa" w:w="1728"/>
            <w:vAlign w:val="center"/>
          </w:tcPr>
          <w:p>
            <w:r>
              <w:t>Learning Feature Modules</w:t>
            </w:r>
          </w:p>
        </w:tc>
        <w:tc>
          <w:tcPr>
            <w:tcW w:type="dxa" w:w="1728"/>
            <w:vAlign w:val="center"/>
          </w:tcPr>
          <w:p>
            <w:r>
              <w:t>JavaScript / React</w:t>
            </w:r>
          </w:p>
        </w:tc>
        <w:tc>
          <w:tcPr>
            <w:tcW w:type="dxa" w:w="1728"/>
            <w:vAlign w:val="center"/>
          </w:tcPr>
          <w:p>
            <w:r>
              <w:t>Explanation, question answering and other EduGenie learning features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>
              <w:t>8</w:t>
            </w:r>
          </w:p>
        </w:tc>
        <w:tc>
          <w:tcPr>
            <w:tcW w:type="dxa" w:w="1728"/>
            <w:vAlign w:val="center"/>
          </w:tcPr>
          <w:p>
            <w:r>
              <w:t>Configuration / Environment Module</w:t>
            </w:r>
          </w:p>
        </w:tc>
        <w:tc>
          <w:tcPr>
            <w:tcW w:type="dxa" w:w="1728"/>
            <w:vAlign w:val="center"/>
          </w:tcPr>
          <w:p>
            <w:r>
              <w:t>JavaScript</w:t>
            </w:r>
          </w:p>
        </w:tc>
        <w:tc>
          <w:tcPr>
            <w:tcW w:type="dxa" w:w="1728"/>
            <w:vAlign w:val="center"/>
          </w:tcPr>
          <w:p>
            <w:r>
              <w:t>API configuration and application settings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</w:tr>
    </w:tbl>
    <w:p>
      <w:pPr>
        <w:pStyle w:val="Heading2"/>
      </w:pPr>
      <w:r>
        <w:t>Overall Code Quality Assessment: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2880"/>
            <w:vAlign w:val="center"/>
          </w:tcPr>
          <w:p>
            <w:r>
              <w:t>Code Layout &amp; Structure</w:t>
            </w:r>
          </w:p>
        </w:tc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Logical separation of learning interface, Gemini/API communication, validation, utilities and reusable UI modules.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Readability</w:t>
            </w:r>
          </w:p>
        </w:tc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Descriptive names, consistent formatting and clear separation of responsibilities make the code easier to understand.</w:t>
            </w:r>
          </w:p>
        </w:tc>
      </w:tr>
      <w:tr>
        <w:tc>
          <w:tcPr>
            <w:tcW w:type="dxa" w:w="2880"/>
            <w:vAlign w:val="center"/>
          </w:tcPr>
          <w:p>
            <w:r>
              <w:t>Reusability</w:t>
            </w:r>
          </w:p>
        </w:tc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Reusable UI components, centralized Gemini communication and common utility functions reduce duplication.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Documentation / Comments</w:t>
            </w:r>
          </w:p>
        </w:tc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Project documentation and code comments explain the major modules; more inline comments can be added for complex prompt/API logic.</w:t>
            </w:r>
          </w:p>
        </w:tc>
      </w:tr>
      <w:tr>
        <w:tc>
          <w:tcPr>
            <w:tcW w:type="dxa" w:w="2880"/>
            <w:vAlign w:val="center"/>
          </w:tcPr>
          <w:p>
            <w:r>
              <w:t>Overall Score</w:t>
            </w:r>
          </w:p>
        </w:tc>
        <w:tc>
          <w:tcPr>
            <w:tcW w:type="dxa" w:w="2880"/>
            <w:vAlign w:val="center"/>
          </w:tcPr>
          <w:p>
            <w:r>
              <w:t>4 / 5</w:t>
            </w:r>
          </w:p>
        </w:tc>
        <w:tc>
          <w:tcPr>
            <w:tcW w:type="dxa" w:w="2880"/>
            <w:vAlign w:val="center"/>
          </w:tcPr>
          <w:p>
            <w:r>
              <w:t>Well-structured, readable and reusable codebase for a Google Gemini powered learning assistant application.</w:t>
            </w:r>
          </w:p>
        </w:tc>
      </w:tr>
    </w:tbl>
    <w:p/>
    <w:p>
      <w:r>
        <w:rPr>
          <w:b/>
        </w:rPr>
        <w:t xml:space="preserve">Note: </w:t>
      </w:r>
      <w:r>
        <w:t>The EduGenie-specific module names and ratings above are adapted to the project title and the structure of the supplied FitBuddy assessment template. If your actual EduGenie source-code file has different folders/components, those names should be updated to match the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