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B4B" w:rsidRPr="00796B4B" w:rsidRDefault="00796B4B" w:rsidP="00796B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</w:pPr>
      <w:r w:rsidRPr="00796B4B"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  <w:t>Title</w:t>
      </w:r>
    </w:p>
    <w:p w:rsidR="00796B4B" w:rsidRPr="00796B4B" w:rsidRDefault="00796B4B" w:rsidP="00796B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San Juan dengue data for the 1990/1991 to 2008/2009 dengue seasons </w:t>
      </w:r>
    </w:p>
    <w:p w:rsidR="00796B4B" w:rsidRPr="00796B4B" w:rsidRDefault="00796B4B" w:rsidP="00796B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</w:pPr>
      <w:r w:rsidRPr="00796B4B"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  <w:t>Description</w:t>
      </w:r>
    </w:p>
    <w:p w:rsidR="00796B4B" w:rsidRPr="00796B4B" w:rsidRDefault="00796B4B" w:rsidP="00796B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The dataset contains weekly dengue data for the San Juan-Carolina-Caguas Metropolitan Statistical Area. The dataset includes the following variables: </w:t>
      </w:r>
    </w:p>
    <w:p w:rsidR="00796B4B" w:rsidRPr="00796B4B" w:rsidRDefault="00796B4B" w:rsidP="00796B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96B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/>
        </w:rPr>
        <w:t>season</w:t>
      </w:r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: the transmission season; </w:t>
      </w:r>
    </w:p>
    <w:p w:rsidR="00796B4B" w:rsidRPr="00796B4B" w:rsidRDefault="00796B4B" w:rsidP="00796B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proofErr w:type="spellStart"/>
      <w:r w:rsidRPr="00796B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/>
        </w:rPr>
        <w:t>season_week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: week of the season (not the calendar year - the season starts following the week with historically lowest dengue cases over the years 1990-2009); </w:t>
      </w:r>
    </w:p>
    <w:p w:rsidR="00796B4B" w:rsidRPr="00796B4B" w:rsidRDefault="00796B4B" w:rsidP="00796B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proofErr w:type="spellStart"/>
      <w:r w:rsidRPr="00796B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/>
        </w:rPr>
        <w:t>week_start_date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: date of the first day of the week; </w:t>
      </w:r>
    </w:p>
    <w:p w:rsidR="00796B4B" w:rsidRPr="00796B4B" w:rsidRDefault="00796B4B" w:rsidP="00796B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96B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/>
        </w:rPr>
        <w:t>denv1_cases</w:t>
      </w:r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: number of laboratory confirmed cases with DENV1; </w:t>
      </w:r>
    </w:p>
    <w:p w:rsidR="00796B4B" w:rsidRPr="00796B4B" w:rsidRDefault="00796B4B" w:rsidP="00796B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96B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/>
        </w:rPr>
        <w:t>denv2_cases</w:t>
      </w:r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: number of laboratory confirmed cases with DENV2; </w:t>
      </w:r>
      <w:bookmarkStart w:id="0" w:name="_GoBack"/>
      <w:bookmarkEnd w:id="0"/>
    </w:p>
    <w:p w:rsidR="00796B4B" w:rsidRPr="00796B4B" w:rsidRDefault="00796B4B" w:rsidP="00796B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96B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/>
        </w:rPr>
        <w:t>denv3_cases</w:t>
      </w:r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: number of laboratory confirmed cases with DENV3; </w:t>
      </w:r>
    </w:p>
    <w:p w:rsidR="00796B4B" w:rsidRPr="00796B4B" w:rsidRDefault="00796B4B" w:rsidP="00796B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96B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/>
        </w:rPr>
        <w:t>denv4_cases</w:t>
      </w:r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: number of laboratory confirmed cases with DENV4; </w:t>
      </w:r>
    </w:p>
    <w:p w:rsidR="00796B4B" w:rsidRPr="00796B4B" w:rsidRDefault="00796B4B" w:rsidP="00796B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proofErr w:type="spellStart"/>
      <w:r w:rsidRPr="00796B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/>
        </w:rPr>
        <w:t>other_positive_cases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: laboratory-positive cases without serotype identified (these include acute IgM positive and IgM conversions); </w:t>
      </w:r>
    </w:p>
    <w:p w:rsidR="00796B4B" w:rsidRPr="00796B4B" w:rsidRDefault="00796B4B" w:rsidP="00796B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proofErr w:type="spellStart"/>
      <w:r w:rsidRPr="00796B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/>
        </w:rPr>
        <w:t>additional_cases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: at times not all specimens submitted were tested due to overload of the capacity for testing or incomplete case information. For those weeks, the number of additional laboratory-positive cases among those not tested was estimated by multiplying the number of untested cases by the rate of laboratory-positive cases amongst those that were tested; </w:t>
      </w:r>
    </w:p>
    <w:p w:rsidR="00796B4B" w:rsidRPr="00796B4B" w:rsidRDefault="00796B4B" w:rsidP="00796B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proofErr w:type="spellStart"/>
      <w:r w:rsidRPr="00796B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/>
        </w:rPr>
        <w:t>total_cases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: the sum of all cases (denv1-4_cases +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other_positive_cases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+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additional_cases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), the target time series for forecasting.</w:t>
      </w:r>
    </w:p>
    <w:p w:rsidR="00796B4B" w:rsidRPr="00796B4B" w:rsidRDefault="00796B4B" w:rsidP="00796B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Over time, the sensitivity of testing increased, particularly in 2005 when PCR was implemented for routine diagnostics, in 2007 when improved IgM testing was implemented, and in 2009 when a more sensitive PCR assay was adopted. Details are presented in Sharp et al. 2010.</w:t>
      </w:r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br/>
      </w:r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br/>
        <w:t xml:space="preserve">Sharp TM,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Hunsperger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E, Santiago GA, Muñoz-Jordan JL, Santiago LM, Rivera A, et al. (2013) </w:t>
      </w:r>
      <w:hyperlink r:id="rId5" w:tgtFrame="_blank" w:history="1">
        <w:r w:rsidRPr="00796B4B">
          <w:rPr>
            <w:rFonts w:ascii="Helvetica" w:eastAsia="Times New Roman" w:hAnsi="Helvetica" w:cs="Helvetica"/>
            <w:color w:val="337AB7"/>
            <w:sz w:val="21"/>
            <w:szCs w:val="21"/>
            <w:lang w:val="en"/>
          </w:rPr>
          <w:t>Virus-Specific Differences in Rates of Disease during the 2010 Dengue Epidemic in Puerto Rico.</w:t>
        </w:r>
      </w:hyperlink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PLoS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Negl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Trop Dis 7(4): e2159. doi:10.1371/journal.pntd.0002159 </w:t>
      </w:r>
    </w:p>
    <w:p w:rsidR="00796B4B" w:rsidRPr="00796B4B" w:rsidRDefault="00796B4B" w:rsidP="00796B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</w:pPr>
      <w:r w:rsidRPr="00796B4B"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  <w:t>Tags</w:t>
      </w:r>
    </w:p>
    <w:p w:rsidR="00796B4B" w:rsidRPr="00796B4B" w:rsidRDefault="00796B4B" w:rsidP="00796B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proofErr w:type="gram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dengue</w:t>
      </w:r>
      <w:proofErr w:type="gram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Puerto Rico </w:t>
      </w:r>
    </w:p>
    <w:p w:rsidR="00796B4B" w:rsidRPr="00796B4B" w:rsidRDefault="00796B4B" w:rsidP="00796B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</w:pPr>
      <w:r w:rsidRPr="00796B4B"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  <w:t>Last Update</w:t>
      </w:r>
    </w:p>
    <w:p w:rsidR="00796B4B" w:rsidRPr="00796B4B" w:rsidRDefault="00796B4B" w:rsidP="00796B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May 18, 2015 </w:t>
      </w:r>
    </w:p>
    <w:p w:rsidR="00796B4B" w:rsidRPr="00796B4B" w:rsidRDefault="00796B4B" w:rsidP="00796B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</w:pPr>
      <w:r w:rsidRPr="00796B4B"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  <w:t>Publisher</w:t>
      </w:r>
    </w:p>
    <w:p w:rsidR="00796B4B" w:rsidRPr="00796B4B" w:rsidRDefault="00796B4B" w:rsidP="00796B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Puerto Rico Department of Health and Centers for Disease Control and Prevention </w:t>
      </w:r>
    </w:p>
    <w:p w:rsidR="00796B4B" w:rsidRPr="00796B4B" w:rsidRDefault="00796B4B" w:rsidP="00796B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</w:pPr>
      <w:r w:rsidRPr="00796B4B"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  <w:t>Contact Name and Email</w:t>
      </w:r>
    </w:p>
    <w:p w:rsidR="00796B4B" w:rsidRPr="00796B4B" w:rsidRDefault="00796B4B" w:rsidP="00796B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Michael Johansson, mjohansson@cdc.gov </w:t>
      </w:r>
    </w:p>
    <w:p w:rsidR="00796B4B" w:rsidRPr="00796B4B" w:rsidRDefault="00796B4B" w:rsidP="00796B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</w:pPr>
      <w:r w:rsidRPr="00796B4B"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  <w:t>Public Access Level</w:t>
      </w:r>
    </w:p>
    <w:p w:rsidR="00796B4B" w:rsidRPr="00796B4B" w:rsidRDefault="00796B4B" w:rsidP="00796B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proofErr w:type="gram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public</w:t>
      </w:r>
      <w:proofErr w:type="gram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:rsidR="00796B4B" w:rsidRPr="00796B4B" w:rsidRDefault="00796B4B" w:rsidP="00796B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</w:pPr>
      <w:r w:rsidRPr="00796B4B"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  <w:t>License</w:t>
      </w:r>
    </w:p>
    <w:p w:rsidR="00796B4B" w:rsidRPr="00796B4B" w:rsidRDefault="00796B4B" w:rsidP="00796B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Creative Commons Attribution 4.0 (http://creativecommons.org/licenses/by/4.0/legalcode) </w:t>
      </w:r>
    </w:p>
    <w:p w:rsidR="00796B4B" w:rsidRPr="00796B4B" w:rsidRDefault="00796B4B" w:rsidP="00796B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</w:pPr>
      <w:r w:rsidRPr="00796B4B"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  <w:t>Spatial</w:t>
      </w:r>
    </w:p>
    <w:p w:rsidR="00796B4B" w:rsidRPr="00796B4B" w:rsidRDefault="00796B4B" w:rsidP="00796B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San Juan-Carolina-Caguas Metropolitan Statistical Area including the municipalities of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Aguas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Buenas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Aibonito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Barceloneta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Barranquitas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Bayamón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Caguas,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Canóvanas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Carolina,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Cataño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Cayey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Ceiba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Ciales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Cidra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Comerío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Corozal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Dorado, Fajardo, Florida, Guaynabo,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Gurabo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Humacao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Juncos, Las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Piedras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Loíza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Luquillo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Manatí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Maunabo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Morovis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Naguabo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Naranjito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Orocovis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Río Grande, San Juan, San Lorenzo, Toa Alta, Toa Baja, Trujillo Alto, Vega Alta, Vega Baja, and </w:t>
      </w:r>
      <w:proofErr w:type="spellStart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Yabucoa</w:t>
      </w:r>
      <w:proofErr w:type="spellEnd"/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. </w:t>
      </w:r>
    </w:p>
    <w:p w:rsidR="00796B4B" w:rsidRPr="00796B4B" w:rsidRDefault="00796B4B" w:rsidP="00796B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</w:pPr>
      <w:r w:rsidRPr="00796B4B"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  <w:t>Temporal</w:t>
      </w:r>
    </w:p>
    <w:p w:rsidR="00796B4B" w:rsidRPr="00796B4B" w:rsidRDefault="00ED4336" w:rsidP="00796B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Weekly, 1990/1991 to 2012/2013</w:t>
      </w:r>
      <w:r w:rsidR="00796B4B"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dengue seasons </w:t>
      </w:r>
    </w:p>
    <w:p w:rsidR="00796B4B" w:rsidRPr="00796B4B" w:rsidRDefault="00796B4B" w:rsidP="00796B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</w:pPr>
      <w:r w:rsidRPr="00796B4B"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  <w:lastRenderedPageBreak/>
        <w:t>Release Date</w:t>
      </w:r>
    </w:p>
    <w:p w:rsidR="00796B4B" w:rsidRPr="00796B4B" w:rsidRDefault="00796B4B" w:rsidP="00796B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96B4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May 29, 2015 </w:t>
      </w:r>
    </w:p>
    <w:p w:rsidR="00796B4B" w:rsidRPr="00796B4B" w:rsidRDefault="00796B4B" w:rsidP="00796B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</w:pPr>
      <w:r w:rsidRPr="00796B4B"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  <w:t>Download URL</w:t>
      </w:r>
    </w:p>
    <w:p w:rsidR="00FC70C6" w:rsidRDefault="00ED4336">
      <w:hyperlink r:id="rId6" w:history="1">
        <w:r>
          <w:rPr>
            <w:rStyle w:val="ng-binding"/>
            <w:rFonts w:ascii="Helvetica" w:hAnsi="Helvetica" w:cs="Helvetica"/>
            <w:color w:val="337AB7"/>
            <w:sz w:val="21"/>
            <w:szCs w:val="21"/>
            <w:lang w:val="en"/>
          </w:rPr>
          <w:t>https://predict.phiresearchlab.org/api/v1/attachments/dengue%20forecasting%20project/iquitos_testing_data.csv</w:t>
        </w:r>
      </w:hyperlink>
    </w:p>
    <w:sectPr w:rsidR="00FC70C6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448A4"/>
    <w:multiLevelType w:val="multilevel"/>
    <w:tmpl w:val="24B2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B4B"/>
    <w:rsid w:val="00796B4B"/>
    <w:rsid w:val="00D26908"/>
    <w:rsid w:val="00ED4336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4A02"/>
  <w15:chartTrackingRefBased/>
  <w15:docId w15:val="{50202846-6E6E-4069-B62A-6AA5ACC3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6B4B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796B4B"/>
    <w:rPr>
      <w:b/>
      <w:bCs/>
    </w:rPr>
  </w:style>
  <w:style w:type="character" w:customStyle="1" w:styleId="ng-binding">
    <w:name w:val="ng-binding"/>
    <w:basedOn w:val="DefaultParagraphFont"/>
    <w:rsid w:val="00ED4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029918">
      <w:bodyDiv w:val="1"/>
      <w:marLeft w:val="0"/>
      <w:marRight w:val="0"/>
      <w:marTop w:val="15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17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44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63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30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1306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23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4511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4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9828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37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9657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0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2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09359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72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00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5160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0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4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387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9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78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6858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8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60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51284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2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76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0727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42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6069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98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dict.phiresearchlab.org/api/v1/attachments/dengue%20forecasting%20project/iquitos_testing_data.csv" TargetMode="External"/><Relationship Id="rId5" Type="http://schemas.openxmlformats.org/officeDocument/2006/relationships/hyperlink" Target="http://journals.plos.org/plosntds/article?id=10.1371/journal.pntd.00021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Johansson, Michael (CDC/OID/NCEZID)</dc:creator>
  <cp:keywords/>
  <dc:description/>
  <cp:lastModifiedBy>Johansson, Michael (CDC/OID/NCEZID)</cp:lastModifiedBy>
  <cp:revision>2</cp:revision>
  <dcterms:created xsi:type="dcterms:W3CDTF">2018-01-10T14:43:00Z</dcterms:created>
  <dcterms:modified xsi:type="dcterms:W3CDTF">2018-01-10T15:23:00Z</dcterms:modified>
</cp:coreProperties>
</file>