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WS32 - SOFTWARE PRINCIPLES GROUPS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03th february 2021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7: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Alan Andrade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Katherin Bravo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Darling Cruz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Jhon</w:t>
      </w:r>
      <w:r w:rsidDel="00000000" w:rsidR="00000000" w:rsidRPr="00000000">
        <w:rPr>
          <w:rtl w:val="0"/>
        </w:rPr>
        <w:t xml:space="preserve"> Guitarra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Alejandro de la Cruz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57688" cy="22317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23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the button contains code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The connection to the database is made by 2 classes when it should only have one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17863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8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Comments that are not necessary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697905" cy="30445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905" cy="304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We must take into account the programming of the packages and know where each one is programmed.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The "getters" and "setters" must be programmed in the "model" package, not in the "controller" package, that's a big mistake.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2200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 must take into account the use of lowercase letters for the variables, since if we use uppercase letters we make a mistake. 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41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Open/Closed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names of the methods and variables are very general and are not specific.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351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73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