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9263" cy="1451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45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PROJECT OBJECTS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6: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ANDRES ESTEBAN SANDOVAL VINUEZA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highlight w:val="white"/>
        </w:rPr>
      </w:pP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TANIA LISBETH TIPAN VASCO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highlight w:val="white"/>
        </w:rPr>
      </w:pP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JUAN MATEO TOPON CONDO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highlight w:val="white"/>
        </w:rPr>
      </w:pP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DENIS ALEXANDER ULLCU ULLCO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OF OBJECTS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Invoice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clothes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Transaction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registration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information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Garments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budget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campus.espe.edu.ec/user/view.php?id=3288&amp;course=7297" TargetMode="External"/><Relationship Id="rId9" Type="http://schemas.openxmlformats.org/officeDocument/2006/relationships/hyperlink" Target="https://micampus.espe.edu.ec/user/view.php?id=8261&amp;course=729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campus.espe.edu.ec/user/view.php?id=12419&amp;course=7297" TargetMode="External"/><Relationship Id="rId8" Type="http://schemas.openxmlformats.org/officeDocument/2006/relationships/hyperlink" Target="https://micampus.espe.edu.ec/user/view.php?id=5475&amp;course=7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