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3ae873303d51c0053f97dd5c76fcc448741779"/>
    <w:p>
      <w:pPr>
        <w:pStyle w:val="Heading1"/>
      </w:pPr>
      <w:r>
        <w:t xml:space="preserve">Таблица партнёрских программ застройщиков — Москва и Петербург</w:t>
      </w:r>
    </w:p>
    <w:p>
      <w:pPr>
        <w:pStyle w:val="FirstParagraph"/>
      </w:pPr>
      <w:r>
        <w:rPr>
          <w:b/>
          <w:bCs/>
        </w:rPr>
        <w:t xml:space="preserve">Дата:</w:t>
      </w:r>
      <w:r>
        <w:t xml:space="preserve"> </w:t>
      </w:r>
      <w:r>
        <w:t xml:space="preserve">18.09.2026. Источник — только открытые страницы застройщиков и открытые обзоры рынка, поиском 18.09.2026. Комиссия по конкретному договору — коммерческая тайна каждого застройщика (это прямо пишут открытые обзоры), поэтому размер по каждому имени ниже — либо публичный диапазон, либо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до запроса. Не переносить рыночный процент на конкретного застройщика без его собственного подтверждения [правило замеров].</w:t>
      </w:r>
    </w:p>
    <w:bookmarkStart w:id="9" w:name="Xd137735acf9e587e8b443bdb03d8ff5ac1e1f9d"/>
    <w:p>
      <w:pPr>
        <w:pStyle w:val="Heading2"/>
      </w:pPr>
      <w:r>
        <w:t xml:space="preserve">Рыночный ориентир [Certain, дата обзора 15.09.2026]</w:t>
      </w:r>
    </w:p>
    <w:p>
      <w:pPr>
        <w:pStyle w:val="FirstParagraph"/>
      </w:pPr>
      <w:r>
        <w:t xml:space="preserve">Обзор «Белой каски» (опубликован realty.ria.ru 15.09.2026): застройщики в среднем по рынку платят риелторам от 1 до 9% от суммы сделки; по «Авито Недвижимости» среднее агентское вознаграждение на первичном рынке — 3,5–4%, по конкретным проектам разброс 2–7%. Отдельно называны: ПИК — 4–5%, «Страна Девелопмент» — 4–4,5%, «Основа» — 3–5% в Москве и от 2,5% в регионах. Это рыночная сводка, не наше измерение и не гарантия по конкретной сделке нашего партнёра-риелтора.</w:t>
      </w:r>
    </w:p>
    <w:bookmarkEnd w:id="9"/>
    <w:bookmarkStart w:id="10" w:name="москва"/>
    <w:p>
      <w:pPr>
        <w:pStyle w:val="Heading2"/>
      </w:pPr>
      <w:r>
        <w:t xml:space="preserve">Москва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Застройщик</w:t>
            </w:r>
          </w:p>
        </w:tc>
        <w:tc>
          <w:tcPr/>
          <w:p>
            <w:pPr>
              <w:pStyle w:val="Compact"/>
            </w:pPr>
            <w:r>
              <w:t xml:space="preserve">Партнёрский канал</w:t>
            </w:r>
          </w:p>
        </w:tc>
        <w:tc>
          <w:tcPr/>
          <w:p>
            <w:pPr>
              <w:pStyle w:val="Compact"/>
            </w:pPr>
            <w:r>
              <w:t xml:space="preserve">Комиссия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ПИК</w:t>
            </w:r>
          </w:p>
        </w:tc>
        <w:tc>
          <w:tcPr/>
          <w:p>
            <w:pPr>
              <w:pStyle w:val="Compact"/>
            </w:pPr>
            <w:r>
              <w:t xml:space="preserve">«ПИК-Бонус», pik.ru/pages/bonus</w:t>
            </w:r>
          </w:p>
        </w:tc>
        <w:tc>
          <w:tcPr/>
          <w:p>
            <w:pPr>
              <w:pStyle w:val="Compact"/>
            </w:pPr>
            <w:r>
              <w:t xml:space="preserve">4–5% по открытому обзору рынка</w:t>
            </w:r>
          </w:p>
        </w:tc>
        <w:tc>
          <w:tcPr/>
          <w:p>
            <w:pPr>
              <w:pStyle w:val="Compact"/>
            </w:pPr>
            <w:r>
              <w:t xml:space="preserve">pik.ru/pages/bonus; realty.ria.ru 15.09.2026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Самолёт</w:t>
            </w:r>
          </w:p>
        </w:tc>
        <w:tc>
          <w:tcPr/>
          <w:p>
            <w:pPr>
              <w:pStyle w:val="Compact"/>
            </w:pPr>
            <w:r>
              <w:t xml:space="preserve">«Самолёт Агент», partners.samolet.ru, отдельный регламент работы с агентствами (PDF от 08.10.2025)</w:t>
            </w:r>
          </w:p>
        </w:tc>
        <w:tc>
          <w:tcPr/>
          <w:p>
            <w:pPr>
              <w:pStyle w:val="Compact"/>
            </w:pPr>
            <w:r>
              <w:t xml:space="preserve">UNKNOWN, зависит от объёма совместных продаж; выплата раз в месяц после поступления денег</w:t>
            </w:r>
          </w:p>
        </w:tc>
        <w:tc>
          <w:tcPr/>
          <w:p>
            <w:pPr>
              <w:pStyle w:val="Compact"/>
            </w:pPr>
            <w:r>
              <w:t xml:space="preserve">partners.samolet.ru; регламент на storage.yandexcloud.net (см. ссылку в отчёте)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А101</w:t>
            </w:r>
          </w:p>
        </w:tc>
        <w:tc>
          <w:tcPr/>
          <w:p>
            <w:pPr>
              <w:pStyle w:val="Compact"/>
            </w:pPr>
            <w:r>
              <w:t xml:space="preserve">Партнёрский раздел, a101.ru; акция «Агент А101» — фиксированная выплата за сделку по знакомому</w:t>
            </w:r>
          </w:p>
        </w:tc>
        <w:tc>
          <w:tcPr/>
          <w:p>
            <w:pPr>
              <w:pStyle w:val="Compact"/>
            </w:pPr>
            <w:r>
              <w:t xml:space="preserve">1,5–4% по открытому обзору; пример акции — фиксированная сумма на прогрессивной шкале</w:t>
            </w:r>
          </w:p>
        </w:tc>
        <w:tc>
          <w:tcPr/>
          <w:p>
            <w:pPr>
              <w:pStyle w:val="Compact"/>
            </w:pPr>
            <w:r>
              <w:t xml:space="preserve">commercial.a101.ru/partner/; a101.ru/services/agent-a101/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 Group</w:t>
            </w:r>
          </w:p>
        </w:tc>
        <w:tc>
          <w:tcPr/>
          <w:p>
            <w:pPr>
              <w:pStyle w:val="Compact"/>
            </w:pPr>
            <w:r>
              <w:t xml:space="preserve">Работа с брокерами напрямую, mr-group.ru/company/partners</w:t>
            </w:r>
          </w:p>
        </w:tc>
        <w:tc>
          <w:tcPr/>
          <w:p>
            <w:pPr>
              <w:pStyle w:val="Compact"/>
            </w:pPr>
            <w:r>
              <w:t xml:space="preserve">UNKNOWN в процентах; описано, что застройщик выплачивает аванс ≈75% вознаграждения агента</w:t>
            </w:r>
          </w:p>
        </w:tc>
        <w:tc>
          <w:tcPr/>
          <w:p>
            <w:pPr>
              <w:pStyle w:val="Compact"/>
            </w:pPr>
            <w:r>
              <w:t xml:space="preserve">mr-group.ru/company/partners; novostroy-m.ru (новость об улучшении условий)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Group</w:t>
            </w:r>
          </w:p>
        </w:tc>
        <w:tc>
          <w:tcPr/>
          <w:p>
            <w:pPr>
              <w:pStyle w:val="Compact"/>
            </w:pPr>
            <w:r>
              <w:t xml:space="preserve">level.ru/partner</w:t>
            </w:r>
          </w:p>
        </w:tc>
        <w:tc>
          <w:tcPr/>
          <w:p>
            <w:pPr>
              <w:pStyle w:val="Compact"/>
            </w:pPr>
            <w:r>
              <w:t xml:space="preserve">UNKNOWN, детали не публикуются</w:t>
            </w:r>
          </w:p>
        </w:tc>
        <w:tc>
          <w:tcPr/>
          <w:p>
            <w:pPr>
              <w:pStyle w:val="Compact"/>
            </w:pPr>
            <w:r>
              <w:t xml:space="preserve">level.ru/partner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Донстрой</w:t>
            </w:r>
          </w:p>
        </w:tc>
        <w:tc>
          <w:tcPr/>
          <w:p>
            <w:pPr>
              <w:pStyle w:val="Compact"/>
            </w:pPr>
            <w:r>
              <w:t xml:space="preserve">Публичная партнёрская программа найдена только для покупателей (клиентский кэшбэк-клуб, 70 партнёров), отдельной программы для риелторов на сайте не обнаружено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donstroy.moscow/press/news/…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ФСК</w:t>
            </w:r>
          </w:p>
        </w:tc>
        <w:tc>
          <w:tcPr/>
          <w:p>
            <w:pPr>
              <w:pStyle w:val="Compact"/>
            </w:pPr>
            <w:r>
              <w:t xml:space="preserve">Отдел партнёрских продаж существует с 2017 года (открытый источник — новость, не страница программы)</w:t>
            </w:r>
          </w:p>
        </w:tc>
        <w:tc>
          <w:tcPr/>
          <w:p>
            <w:pPr>
              <w:pStyle w:val="Compact"/>
            </w:pPr>
            <w:r>
              <w:t xml:space="preserve">UNKNOWN, комиscommission — коммерческая тайна по общим обзорам рынка</w:t>
            </w:r>
          </w:p>
        </w:tc>
        <w:tc>
          <w:tcPr/>
          <w:p>
            <w:pPr>
              <w:pStyle w:val="Compact"/>
            </w:pPr>
            <w:r>
              <w:t xml:space="preserve">fedoscev.ru (обзорная статья, не сайт застройщика) —</w:t>
            </w:r>
            <w:r>
              <w:t xml:space="preserve"> </w:t>
            </w:r>
            <w:r>
              <w:rPr>
                <w:b/>
                <w:bCs/>
              </w:rPr>
              <w:t xml:space="preserve">страница самого ФСК не найдена, статус NOT_ESTABLISHED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Sminex</w:t>
            </w:r>
          </w:p>
        </w:tc>
        <w:tc>
          <w:tcPr/>
          <w:p>
            <w:pPr>
              <w:pStyle w:val="Compact"/>
            </w:pPr>
            <w:r>
              <w:t xml:space="preserve">Раздел для брокеров, corp.sminex.com/sotrudnichestvo/broker-po-nedvizhimosti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corp.sminex.com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Инград (INGRAD)</w:t>
            </w:r>
          </w:p>
        </w:tc>
        <w:tc>
          <w:tcPr/>
          <w:p>
            <w:pPr>
              <w:pStyle w:val="Compact"/>
            </w:pPr>
            <w:r>
              <w:t xml:space="preserve">«Условия агентской работы», ingrad.ru/partner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ingrad.ru/partner</w:t>
            </w:r>
          </w:p>
        </w:tc>
      </w:tr>
    </w:tbl>
    <w:bookmarkEnd w:id="10"/>
    <w:bookmarkStart w:id="11" w:name="петербург-ленобласть"/>
    <w:p>
      <w:pPr>
        <w:pStyle w:val="Heading2"/>
      </w:pPr>
      <w:r>
        <w:t xml:space="preserve">Петербург (Ленобласть)</w:t>
      </w:r>
    </w:p>
    <w:p>
      <w:pPr>
        <w:pStyle w:val="FirstParagraph"/>
      </w:pPr>
      <w:r>
        <w:t xml:space="preserve">Пять ЖК подтверждены живым риелтором-партнёром 16.09.2026 (см.</w:t>
      </w:r>
      <w:r>
        <w:t xml:space="preserve"> </w:t>
      </w:r>
      <w:r>
        <w:rPr>
          <w:rStyle w:val="VerbatimChar"/>
        </w:rPr>
        <w:t xml:space="preserve">rieltor-spb-1-2026-09-16.md</w:t>
      </w:r>
      <w:r>
        <w:t xml:space="preserve">): Город Звёзд (Setl Group), Аквилон Stories (Группа Аквилон), Гений и Передвижники (RBI), Шкиперский 19 (ПИК — тот же застройщик, что и в московской строке). ЛСР риелтор прямо не рекомендует (короткая фиксация, качество строительства — его оценка, не наша). Отдельных публичных страниц с процентом по Setl Group, Группе Аквилон и RBI поиском 18.09.2026 не найдено — статус по комиссии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, спросить у риелтора-партнёра напрямую (вопрос уже отправлен, см.</w:t>
      </w:r>
      <w:r>
        <w:t xml:space="preserve"> </w:t>
      </w:r>
      <w:r>
        <w:rPr>
          <w:rStyle w:val="VerbatimChar"/>
        </w:rPr>
        <w:t xml:space="preserve">rieltor-spb-1-2026-09-16.md</w:t>
      </w:r>
      <w:r>
        <w:t xml:space="preserve">, раздел «Три вопроса вдогонку»).</w:t>
      </w:r>
    </w:p>
    <w:bookmarkEnd w:id="11"/>
    <w:bookmarkStart w:id="12" w:name="что-это-значит-для-плана"/>
    <w:p>
      <w:pPr>
        <w:pStyle w:val="Heading2"/>
      </w:pPr>
      <w:r>
        <w:t xml:space="preserve">Что это значит для плана</w:t>
      </w:r>
    </w:p>
    <w:p>
      <w:pPr>
        <w:pStyle w:val="Compact"/>
        <w:numPr>
          <w:ilvl w:val="0"/>
          <w:numId w:val="1001"/>
        </w:numPr>
      </w:pPr>
      <w:r>
        <w:t xml:space="preserve">Публичного процента комиссии по большинству застройщиков нет — это подтверждают сами открытые обзоры рынка («коммерческая тайна»). Экономику по каждому застройщику можно посчитать только после того, как агентство или риелтор-партнёр назовёт свою цифру по своему договору. Наш прогноз по чужому проценту — нарушение правила замеров.</w:t>
      </w:r>
    </w:p>
    <w:p>
      <w:pPr>
        <w:pStyle w:val="Compact"/>
        <w:numPr>
          <w:ilvl w:val="0"/>
          <w:numId w:val="1001"/>
        </w:numPr>
      </w:pPr>
      <w:r>
        <w:t xml:space="preserve">Рабочий диапазон для предварительной прикидки бюджета — 3–5% с шагом в обе стороны 2–9%, и это ориентир, а не цифра для конкретного расчёта.</w:t>
      </w:r>
    </w:p>
    <w:p>
      <w:pPr>
        <w:pStyle w:val="Compact"/>
        <w:numPr>
          <w:ilvl w:val="0"/>
          <w:numId w:val="1001"/>
        </w:numPr>
      </w:pPr>
      <w:r>
        <w:t xml:space="preserve">Практическая точка входа в Москве — ПИК (единственный застройщик с открытой публичной программой и открытым диапазоном) и застройщики, с которыми уже работает риелтор-партнёр по Петербургу, если у него есть параллельные московские договоры (это отдельный вопрос ему).</w:t>
      </w:r>
    </w:p>
    <w:p>
      <w:pPr>
        <w:pStyle w:val="Compact"/>
        <w:numPr>
          <w:ilvl w:val="0"/>
          <w:numId w:val="1001"/>
        </w:numPr>
      </w:pPr>
      <w:r>
        <w:t xml:space="preserve">Донстрой и ФСК — без подтверждённой риелторской партнёрской программы в открытом доступе; трафик под их ЖК не запускать, пока не будет прямого ответа от застройщика или риелтора-партнёра.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2026-09-18T20:50:12Z</dcterms:created>
  <dcterms:modified xsi:type="dcterms:W3CDTF">2026-09-18T20:50:12Z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