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9AC19" w14:textId="77777777" w:rsidR="005B7899" w:rsidRDefault="00000000">
      <w:pPr>
        <w:spacing w:after="60"/>
        <w:jc w:val="center"/>
        <w:rPr>
          <w:rFonts w:ascii="Calibri" w:eastAsia="Calibri" w:hAnsi="Calibri" w:cs="Calibri"/>
          <w:b/>
          <w:bCs/>
          <w:color w:val="1F4E79"/>
          <w:sz w:val="34"/>
          <w:szCs w:val="34"/>
        </w:rPr>
      </w:pPr>
      <w:r>
        <w:rPr>
          <w:rFonts w:ascii="Calibri" w:eastAsia="Calibri" w:hAnsi="Calibri" w:cs="Calibri"/>
          <w:b/>
          <w:bCs/>
          <w:color w:val="1F4E79"/>
          <w:sz w:val="34"/>
          <w:szCs w:val="34"/>
        </w:rPr>
        <w:t>Pourquoi les PME marocaines font-elles faillite ?</w:t>
      </w:r>
    </w:p>
    <w:p w14:paraId="4C89E6C6" w14:textId="77777777" w:rsidR="00CA2D3C" w:rsidRDefault="00CA2D3C">
      <w:pPr>
        <w:spacing w:after="60"/>
        <w:jc w:val="center"/>
      </w:pPr>
    </w:p>
    <w:p w14:paraId="70F9BC21" w14:textId="77777777" w:rsidR="005B7899" w:rsidRDefault="00000000">
      <w:pPr>
        <w:pStyle w:val="Titre1"/>
        <w:spacing w:before="200" w:after="80"/>
      </w:pPr>
      <w:r>
        <w:rPr>
          <w:rFonts w:ascii="Calibri" w:eastAsia="Calibri" w:hAnsi="Calibri" w:cs="Calibri"/>
          <w:b/>
          <w:bCs/>
          <w:color w:val="1F4E79"/>
          <w:sz w:val="26"/>
          <w:szCs w:val="26"/>
        </w:rPr>
        <w:t>1. Problématique et données</w:t>
      </w:r>
    </w:p>
    <w:p w14:paraId="37B31F3F" w14:textId="77777777" w:rsidR="005B7899" w:rsidRDefault="00000000">
      <w:pPr>
        <w:spacing w:after="100" w:line="264" w:lineRule="auto"/>
        <w:jc w:val="both"/>
      </w:pPr>
      <w:r>
        <w:rPr>
          <w:rFonts w:ascii="Calibri" w:eastAsia="Calibri" w:hAnsi="Calibri" w:cs="Calibri"/>
          <w:sz w:val="21"/>
          <w:szCs w:val="21"/>
        </w:rPr>
        <w:t>La question posée est de comprendre pourquoi des entreprises marocaines, notamment les PME, se retrouvent en situation de défaillance (redressement ou liquidation judiciaire). Il n'existe pas de base ouverte officielle qui recense ces défaillances. Le seul suivi régulier est celui d'</w:t>
      </w:r>
      <w:proofErr w:type="spellStart"/>
      <w:r>
        <w:rPr>
          <w:rFonts w:ascii="Calibri" w:eastAsia="Calibri" w:hAnsi="Calibri" w:cs="Calibri"/>
          <w:sz w:val="21"/>
          <w:szCs w:val="21"/>
        </w:rPr>
        <w:t>Inforisk</w:t>
      </w:r>
      <w:proofErr w:type="spellEnd"/>
      <w:r>
        <w:rPr>
          <w:rFonts w:ascii="Calibri" w:eastAsia="Calibri" w:hAnsi="Calibri" w:cs="Calibri"/>
          <w:sz w:val="21"/>
          <w:szCs w:val="21"/>
        </w:rPr>
        <w:t>, cabinet marocain d'information légale et financière, dont les chiffres sont repris par la presse économique (Le360, Médias24, FNH, Industries.ma).</w:t>
      </w:r>
    </w:p>
    <w:p w14:paraId="6DC28508" w14:textId="77777777" w:rsidR="005B7899" w:rsidRDefault="00000000">
      <w:pPr>
        <w:spacing w:after="100" w:line="264" w:lineRule="auto"/>
        <w:jc w:val="both"/>
      </w:pPr>
      <w:r>
        <w:rPr>
          <w:rFonts w:ascii="Calibri" w:eastAsia="Calibri" w:hAnsi="Calibri" w:cs="Calibri"/>
          <w:sz w:val="21"/>
          <w:szCs w:val="21"/>
        </w:rPr>
        <w:t xml:space="preserve">J'ai donc construit un </w:t>
      </w:r>
      <w:proofErr w:type="spellStart"/>
      <w:r>
        <w:rPr>
          <w:rFonts w:ascii="Calibri" w:eastAsia="Calibri" w:hAnsi="Calibri" w:cs="Calibri"/>
          <w:sz w:val="21"/>
          <w:szCs w:val="21"/>
        </w:rPr>
        <w:t>dataset</w:t>
      </w:r>
      <w:proofErr w:type="spellEnd"/>
      <w:r>
        <w:rPr>
          <w:rFonts w:ascii="Calibri" w:eastAsia="Calibri" w:hAnsi="Calibri" w:cs="Calibri"/>
          <w:sz w:val="21"/>
          <w:szCs w:val="21"/>
        </w:rPr>
        <w:t xml:space="preserve"> à partir de ces publications. Il comprend quatre fichiers CSV, chacun accompagné de la source et de l'URL de chaque valeur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4226"/>
      </w:tblGrid>
      <w:tr w:rsidR="005B7899" w14:paraId="631B1687" w14:textId="77777777">
        <w:tblPrEx>
          <w:tblCellMar>
            <w:top w:w="0" w:type="dxa"/>
            <w:bottom w:w="0" w:type="dxa"/>
          </w:tblCellMar>
        </w:tblPrEx>
        <w:tc>
          <w:tcPr>
            <w:tcW w:w="3300" w:type="dxa"/>
            <w:shd w:val="clear" w:color="auto" w:fill="1F4E79"/>
            <w:tcMar>
              <w:top w:w="50" w:type="dxa"/>
              <w:left w:w="90" w:type="dxa"/>
              <w:bottom w:w="50" w:type="dxa"/>
              <w:right w:w="90" w:type="dxa"/>
            </w:tcMar>
          </w:tcPr>
          <w:p w14:paraId="5A76793E" w14:textId="77777777" w:rsidR="005B7899" w:rsidRDefault="00000000">
            <w:r>
              <w:rPr>
                <w:rFonts w:ascii="Calibri" w:eastAsia="Calibri" w:hAnsi="Calibri" w:cs="Calibri"/>
                <w:b/>
                <w:bCs/>
                <w:color w:val="FFFFFF"/>
                <w:sz w:val="18"/>
                <w:szCs w:val="18"/>
              </w:rPr>
              <w:t>Fichier CSV</w:t>
            </w:r>
          </w:p>
        </w:tc>
        <w:tc>
          <w:tcPr>
            <w:tcW w:w="1500" w:type="dxa"/>
            <w:shd w:val="clear" w:color="auto" w:fill="1F4E79"/>
            <w:tcMar>
              <w:top w:w="50" w:type="dxa"/>
              <w:left w:w="90" w:type="dxa"/>
              <w:bottom w:w="50" w:type="dxa"/>
              <w:right w:w="90" w:type="dxa"/>
            </w:tcMar>
          </w:tcPr>
          <w:p w14:paraId="0E162AC0" w14:textId="77777777" w:rsidR="005B7899" w:rsidRDefault="00000000">
            <w:r>
              <w:rPr>
                <w:rFonts w:ascii="Calibri" w:eastAsia="Calibri" w:hAnsi="Calibri" w:cs="Calibri"/>
                <w:b/>
                <w:bCs/>
                <w:color w:val="FFFFFF"/>
                <w:sz w:val="18"/>
                <w:szCs w:val="18"/>
              </w:rPr>
              <w:t>Lignes</w:t>
            </w:r>
          </w:p>
        </w:tc>
        <w:tc>
          <w:tcPr>
            <w:tcW w:w="4226" w:type="dxa"/>
            <w:shd w:val="clear" w:color="auto" w:fill="1F4E79"/>
            <w:tcMar>
              <w:top w:w="50" w:type="dxa"/>
              <w:left w:w="90" w:type="dxa"/>
              <w:bottom w:w="50" w:type="dxa"/>
              <w:right w:w="90" w:type="dxa"/>
            </w:tcMar>
          </w:tcPr>
          <w:p w14:paraId="0372B875" w14:textId="77777777" w:rsidR="005B7899" w:rsidRDefault="00000000">
            <w:r>
              <w:rPr>
                <w:rFonts w:ascii="Calibri" w:eastAsia="Calibri" w:hAnsi="Calibri" w:cs="Calibri"/>
                <w:b/>
                <w:bCs/>
                <w:color w:val="FFFFFF"/>
                <w:sz w:val="18"/>
                <w:szCs w:val="18"/>
              </w:rPr>
              <w:t>Contenu</w:t>
            </w:r>
          </w:p>
        </w:tc>
      </w:tr>
      <w:tr w:rsidR="005B7899" w14:paraId="54B63629" w14:textId="77777777">
        <w:tblPrEx>
          <w:tblCellMar>
            <w:top w:w="0" w:type="dxa"/>
            <w:bottom w:w="0" w:type="dxa"/>
          </w:tblCellMar>
        </w:tblPrEx>
        <w:tc>
          <w:tcPr>
            <w:tcW w:w="3300" w:type="dxa"/>
            <w:tcMar>
              <w:top w:w="50" w:type="dxa"/>
              <w:left w:w="90" w:type="dxa"/>
              <w:bottom w:w="50" w:type="dxa"/>
              <w:right w:w="90" w:type="dxa"/>
            </w:tcMar>
          </w:tcPr>
          <w:p w14:paraId="213C1176" w14:textId="77777777" w:rsidR="005B7899" w:rsidRDefault="00000000">
            <w:r>
              <w:rPr>
                <w:rFonts w:ascii="Calibri" w:eastAsia="Calibri" w:hAnsi="Calibri" w:cs="Calibri"/>
                <w:color w:val="000000"/>
                <w:sz w:val="18"/>
                <w:szCs w:val="18"/>
              </w:rPr>
              <w:t>defaillances_annuelles.csv</w:t>
            </w:r>
          </w:p>
        </w:tc>
        <w:tc>
          <w:tcPr>
            <w:tcW w:w="1500" w:type="dxa"/>
            <w:tcMar>
              <w:top w:w="50" w:type="dxa"/>
              <w:left w:w="90" w:type="dxa"/>
              <w:bottom w:w="50" w:type="dxa"/>
              <w:right w:w="90" w:type="dxa"/>
            </w:tcMar>
          </w:tcPr>
          <w:p w14:paraId="18769C3C" w14:textId="77777777" w:rsidR="005B7899" w:rsidRDefault="00000000">
            <w:r>
              <w:rPr>
                <w:rFonts w:ascii="Calibri" w:eastAsia="Calibri" w:hAnsi="Calibri" w:cs="Calibri"/>
                <w:color w:val="000000"/>
                <w:sz w:val="18"/>
                <w:szCs w:val="18"/>
              </w:rPr>
              <w:t>4</w:t>
            </w:r>
          </w:p>
        </w:tc>
        <w:tc>
          <w:tcPr>
            <w:tcW w:w="4226" w:type="dxa"/>
            <w:tcMar>
              <w:top w:w="50" w:type="dxa"/>
              <w:left w:w="90" w:type="dxa"/>
              <w:bottom w:w="50" w:type="dxa"/>
              <w:right w:w="90" w:type="dxa"/>
            </w:tcMar>
          </w:tcPr>
          <w:p w14:paraId="19545E66" w14:textId="77777777" w:rsidR="005B7899" w:rsidRDefault="00000000">
            <w:r>
              <w:rPr>
                <w:rFonts w:ascii="Calibri" w:eastAsia="Calibri" w:hAnsi="Calibri" w:cs="Calibri"/>
                <w:color w:val="000000"/>
                <w:sz w:val="18"/>
                <w:szCs w:val="18"/>
              </w:rPr>
              <w:t>Nombre de défaillances, 2022 à 2025</w:t>
            </w:r>
          </w:p>
        </w:tc>
      </w:tr>
      <w:tr w:rsidR="005B7899" w14:paraId="2E8A8247" w14:textId="77777777">
        <w:tblPrEx>
          <w:tblCellMar>
            <w:top w:w="0" w:type="dxa"/>
            <w:bottom w:w="0" w:type="dxa"/>
          </w:tblCellMar>
        </w:tblPrEx>
        <w:tc>
          <w:tcPr>
            <w:tcW w:w="3300" w:type="dxa"/>
            <w:tcMar>
              <w:top w:w="50" w:type="dxa"/>
              <w:left w:w="90" w:type="dxa"/>
              <w:bottom w:w="50" w:type="dxa"/>
              <w:right w:w="90" w:type="dxa"/>
            </w:tcMar>
          </w:tcPr>
          <w:p w14:paraId="6D48AB31" w14:textId="77777777" w:rsidR="005B7899" w:rsidRDefault="00000000">
            <w:r>
              <w:rPr>
                <w:rFonts w:ascii="Calibri" w:eastAsia="Calibri" w:hAnsi="Calibri" w:cs="Calibri"/>
                <w:color w:val="000000"/>
                <w:sz w:val="18"/>
                <w:szCs w:val="18"/>
              </w:rPr>
              <w:t>defaillances_par_taille.csv</w:t>
            </w:r>
          </w:p>
        </w:tc>
        <w:tc>
          <w:tcPr>
            <w:tcW w:w="1500" w:type="dxa"/>
            <w:tcMar>
              <w:top w:w="50" w:type="dxa"/>
              <w:left w:w="90" w:type="dxa"/>
              <w:bottom w:w="50" w:type="dxa"/>
              <w:right w:w="90" w:type="dxa"/>
            </w:tcMar>
          </w:tcPr>
          <w:p w14:paraId="17DC7103" w14:textId="77777777" w:rsidR="005B7899" w:rsidRDefault="00000000">
            <w:r>
              <w:rPr>
                <w:rFonts w:ascii="Calibri" w:eastAsia="Calibri" w:hAnsi="Calibri" w:cs="Calibri"/>
                <w:color w:val="000000"/>
                <w:sz w:val="18"/>
                <w:szCs w:val="18"/>
              </w:rPr>
              <w:t>3</w:t>
            </w:r>
          </w:p>
        </w:tc>
        <w:tc>
          <w:tcPr>
            <w:tcW w:w="4226" w:type="dxa"/>
            <w:tcMar>
              <w:top w:w="50" w:type="dxa"/>
              <w:left w:w="90" w:type="dxa"/>
              <w:bottom w:w="50" w:type="dxa"/>
              <w:right w:w="90" w:type="dxa"/>
            </w:tcMar>
          </w:tcPr>
          <w:p w14:paraId="7EE83D74" w14:textId="77777777" w:rsidR="005B7899" w:rsidRDefault="00000000">
            <w:r>
              <w:rPr>
                <w:rFonts w:ascii="Calibri" w:eastAsia="Calibri" w:hAnsi="Calibri" w:cs="Calibri"/>
                <w:color w:val="000000"/>
                <w:sz w:val="18"/>
                <w:szCs w:val="18"/>
              </w:rPr>
              <w:t>Part par taille d'entreprise (2025)</w:t>
            </w:r>
          </w:p>
        </w:tc>
      </w:tr>
      <w:tr w:rsidR="005B7899" w14:paraId="19134E4D" w14:textId="77777777">
        <w:tblPrEx>
          <w:tblCellMar>
            <w:top w:w="0" w:type="dxa"/>
            <w:bottom w:w="0" w:type="dxa"/>
          </w:tblCellMar>
        </w:tblPrEx>
        <w:tc>
          <w:tcPr>
            <w:tcW w:w="3300" w:type="dxa"/>
            <w:tcMar>
              <w:top w:w="50" w:type="dxa"/>
              <w:left w:w="90" w:type="dxa"/>
              <w:bottom w:w="50" w:type="dxa"/>
              <w:right w:w="90" w:type="dxa"/>
            </w:tcMar>
          </w:tcPr>
          <w:p w14:paraId="12B4B071" w14:textId="77777777" w:rsidR="005B7899" w:rsidRDefault="00000000">
            <w:r>
              <w:rPr>
                <w:rFonts w:ascii="Calibri" w:eastAsia="Calibri" w:hAnsi="Calibri" w:cs="Calibri"/>
                <w:color w:val="000000"/>
                <w:sz w:val="18"/>
                <w:szCs w:val="18"/>
              </w:rPr>
              <w:t>defaillances_par_secteur_2024.csv</w:t>
            </w:r>
          </w:p>
        </w:tc>
        <w:tc>
          <w:tcPr>
            <w:tcW w:w="1500" w:type="dxa"/>
            <w:tcMar>
              <w:top w:w="50" w:type="dxa"/>
              <w:left w:w="90" w:type="dxa"/>
              <w:bottom w:w="50" w:type="dxa"/>
              <w:right w:w="90" w:type="dxa"/>
            </w:tcMar>
          </w:tcPr>
          <w:p w14:paraId="38E19FF0" w14:textId="77777777" w:rsidR="005B7899" w:rsidRDefault="00000000">
            <w:r>
              <w:rPr>
                <w:rFonts w:ascii="Calibri" w:eastAsia="Calibri" w:hAnsi="Calibri" w:cs="Calibri"/>
                <w:color w:val="000000"/>
                <w:sz w:val="18"/>
                <w:szCs w:val="18"/>
              </w:rPr>
              <w:t>4</w:t>
            </w:r>
          </w:p>
        </w:tc>
        <w:tc>
          <w:tcPr>
            <w:tcW w:w="4226" w:type="dxa"/>
            <w:tcMar>
              <w:top w:w="50" w:type="dxa"/>
              <w:left w:w="90" w:type="dxa"/>
              <w:bottom w:w="50" w:type="dxa"/>
              <w:right w:w="90" w:type="dxa"/>
            </w:tcMar>
          </w:tcPr>
          <w:p w14:paraId="42C19F91" w14:textId="77777777" w:rsidR="005B7899" w:rsidRDefault="00000000">
            <w:r>
              <w:rPr>
                <w:rFonts w:ascii="Calibri" w:eastAsia="Calibri" w:hAnsi="Calibri" w:cs="Calibri"/>
                <w:color w:val="000000"/>
                <w:sz w:val="18"/>
                <w:szCs w:val="18"/>
              </w:rPr>
              <w:t>Part des 4 premiers secteurs (2024)</w:t>
            </w:r>
          </w:p>
        </w:tc>
      </w:tr>
      <w:tr w:rsidR="005B7899" w14:paraId="448D6314" w14:textId="77777777">
        <w:tblPrEx>
          <w:tblCellMar>
            <w:top w:w="0" w:type="dxa"/>
            <w:bottom w:w="0" w:type="dxa"/>
          </w:tblCellMar>
        </w:tblPrEx>
        <w:tc>
          <w:tcPr>
            <w:tcW w:w="3300" w:type="dxa"/>
            <w:tcMar>
              <w:top w:w="50" w:type="dxa"/>
              <w:left w:w="90" w:type="dxa"/>
              <w:bottom w:w="50" w:type="dxa"/>
              <w:right w:w="90" w:type="dxa"/>
            </w:tcMar>
          </w:tcPr>
          <w:p w14:paraId="14AFA489" w14:textId="77777777" w:rsidR="005B7899" w:rsidRDefault="00000000">
            <w:r>
              <w:rPr>
                <w:rFonts w:ascii="Calibri" w:eastAsia="Calibri" w:hAnsi="Calibri" w:cs="Calibri"/>
                <w:color w:val="000000"/>
                <w:sz w:val="18"/>
                <w:szCs w:val="18"/>
              </w:rPr>
              <w:t>defaillances_par_ville_2024.csv</w:t>
            </w:r>
          </w:p>
        </w:tc>
        <w:tc>
          <w:tcPr>
            <w:tcW w:w="1500" w:type="dxa"/>
            <w:tcMar>
              <w:top w:w="50" w:type="dxa"/>
              <w:left w:w="90" w:type="dxa"/>
              <w:bottom w:w="50" w:type="dxa"/>
              <w:right w:w="90" w:type="dxa"/>
            </w:tcMar>
          </w:tcPr>
          <w:p w14:paraId="3147D6F7" w14:textId="77777777" w:rsidR="005B7899" w:rsidRDefault="00000000">
            <w:r>
              <w:rPr>
                <w:rFonts w:ascii="Calibri" w:eastAsia="Calibri" w:hAnsi="Calibri" w:cs="Calibri"/>
                <w:color w:val="000000"/>
                <w:sz w:val="18"/>
                <w:szCs w:val="18"/>
              </w:rPr>
              <w:t>4</w:t>
            </w:r>
          </w:p>
        </w:tc>
        <w:tc>
          <w:tcPr>
            <w:tcW w:w="4226" w:type="dxa"/>
            <w:tcMar>
              <w:top w:w="50" w:type="dxa"/>
              <w:left w:w="90" w:type="dxa"/>
              <w:bottom w:w="50" w:type="dxa"/>
              <w:right w:w="90" w:type="dxa"/>
            </w:tcMar>
          </w:tcPr>
          <w:p w14:paraId="2C0E883D" w14:textId="77777777" w:rsidR="005B7899" w:rsidRDefault="00000000">
            <w:r>
              <w:rPr>
                <w:rFonts w:ascii="Calibri" w:eastAsia="Calibri" w:hAnsi="Calibri" w:cs="Calibri"/>
                <w:color w:val="000000"/>
                <w:sz w:val="18"/>
                <w:szCs w:val="18"/>
              </w:rPr>
              <w:t>Part des 4 premières villes (2024)</w:t>
            </w:r>
          </w:p>
        </w:tc>
      </w:tr>
    </w:tbl>
    <w:p w14:paraId="7F1EC4B6" w14:textId="77777777" w:rsidR="005B7899" w:rsidRDefault="005B7899">
      <w:pPr>
        <w:spacing w:after="60"/>
        <w:jc w:val="both"/>
      </w:pPr>
    </w:p>
    <w:p w14:paraId="5A6D8123" w14:textId="77777777" w:rsidR="005B7899" w:rsidRDefault="00000000">
      <w:pPr>
        <w:spacing w:after="100" w:line="264" w:lineRule="auto"/>
        <w:jc w:val="both"/>
      </w:pPr>
      <w:r>
        <w:rPr>
          <w:rFonts w:ascii="Calibri" w:eastAsia="Calibri" w:hAnsi="Calibri" w:cs="Calibri"/>
          <w:sz w:val="21"/>
          <w:szCs w:val="21"/>
        </w:rPr>
        <w:t xml:space="preserve">Le script </w:t>
      </w:r>
      <w:r>
        <w:rPr>
          <w:rFonts w:ascii="Calibri" w:eastAsia="Calibri" w:hAnsi="Calibri" w:cs="Calibri"/>
          <w:b/>
          <w:bCs/>
          <w:sz w:val="21"/>
          <w:szCs w:val="21"/>
        </w:rPr>
        <w:t>analyse_defaillances.py</w:t>
      </w:r>
      <w:r>
        <w:rPr>
          <w:rFonts w:ascii="Calibri" w:eastAsia="Calibri" w:hAnsi="Calibri" w:cs="Calibri"/>
          <w:sz w:val="21"/>
          <w:szCs w:val="21"/>
        </w:rPr>
        <w:t xml:space="preserve"> importe ces fichiers avec pandas, calcule les variations annuelles et </w:t>
      </w:r>
      <w:proofErr w:type="gramStart"/>
      <w:r>
        <w:rPr>
          <w:rFonts w:ascii="Calibri" w:eastAsia="Calibri" w:hAnsi="Calibri" w:cs="Calibri"/>
          <w:sz w:val="21"/>
          <w:szCs w:val="21"/>
        </w:rPr>
        <w:t>génère</w:t>
      </w:r>
      <w:proofErr w:type="gramEnd"/>
      <w:r>
        <w:rPr>
          <w:rFonts w:ascii="Calibri" w:eastAsia="Calibri" w:hAnsi="Calibri" w:cs="Calibri"/>
          <w:sz w:val="21"/>
          <w:szCs w:val="21"/>
        </w:rPr>
        <w:t xml:space="preserve"> le graphique ci-dessous avec </w:t>
      </w:r>
      <w:proofErr w:type="spellStart"/>
      <w:r>
        <w:rPr>
          <w:rFonts w:ascii="Calibri" w:eastAsia="Calibri" w:hAnsi="Calibri" w:cs="Calibri"/>
          <w:sz w:val="21"/>
          <w:szCs w:val="21"/>
        </w:rPr>
        <w:t>matplotlib</w:t>
      </w:r>
      <w:proofErr w:type="spellEnd"/>
      <w:r>
        <w:rPr>
          <w:rFonts w:ascii="Calibri" w:eastAsia="Calibri" w:hAnsi="Calibri" w:cs="Calibri"/>
          <w:sz w:val="21"/>
          <w:szCs w:val="21"/>
        </w:rPr>
        <w:t>.</w:t>
      </w:r>
    </w:p>
    <w:p w14:paraId="360001D8" w14:textId="77777777" w:rsidR="005B7899" w:rsidRDefault="00000000">
      <w:pPr>
        <w:spacing w:before="80" w:after="40"/>
        <w:jc w:val="center"/>
      </w:pPr>
      <w:r>
        <w:rPr>
          <w:noProof/>
        </w:rPr>
        <w:drawing>
          <wp:inline distT="0" distB="0" distL="0" distR="0" wp14:anchorId="74B37C52" wp14:editId="24B551A6">
            <wp:extent cx="4953000" cy="3305175"/>
            <wp:effectExtent l="0" t="0" r="0" b="0"/>
            <wp:docPr id="1" name="graphique" descr="Défaillances au Maroc" title="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305175"/>
                    </a:xfrm>
                    <a:prstGeom prst="rect">
                      <a:avLst/>
                    </a:prstGeom>
                  </pic:spPr>
                </pic:pic>
              </a:graphicData>
            </a:graphic>
          </wp:inline>
        </w:drawing>
      </w:r>
    </w:p>
    <w:p w14:paraId="3953850D" w14:textId="77777777" w:rsidR="005B7899" w:rsidRDefault="00000000">
      <w:pPr>
        <w:spacing w:after="100"/>
        <w:jc w:val="center"/>
      </w:pPr>
      <w:r>
        <w:rPr>
          <w:rFonts w:ascii="Calibri" w:eastAsia="Calibri" w:hAnsi="Calibri" w:cs="Calibri"/>
          <w:i/>
          <w:iCs/>
          <w:sz w:val="18"/>
          <w:szCs w:val="18"/>
        </w:rPr>
        <w:t xml:space="preserve">Figure 1 – Défaillances d'entreprises au Maroc (données </w:t>
      </w:r>
      <w:proofErr w:type="spellStart"/>
      <w:r>
        <w:rPr>
          <w:rFonts w:ascii="Calibri" w:eastAsia="Calibri" w:hAnsi="Calibri" w:cs="Calibri"/>
          <w:i/>
          <w:iCs/>
          <w:sz w:val="18"/>
          <w:szCs w:val="18"/>
        </w:rPr>
        <w:t>Inforisk</w:t>
      </w:r>
      <w:proofErr w:type="spellEnd"/>
      <w:r>
        <w:rPr>
          <w:rFonts w:ascii="Calibri" w:eastAsia="Calibri" w:hAnsi="Calibri" w:cs="Calibri"/>
          <w:i/>
          <w:iCs/>
          <w:sz w:val="18"/>
          <w:szCs w:val="18"/>
        </w:rPr>
        <w:t>)</w:t>
      </w:r>
    </w:p>
    <w:p w14:paraId="5424056F" w14:textId="77777777" w:rsidR="005B7899" w:rsidRDefault="00000000">
      <w:pPr>
        <w:pStyle w:val="Titre1"/>
        <w:spacing w:before="200" w:after="80"/>
      </w:pPr>
      <w:r>
        <w:rPr>
          <w:rFonts w:ascii="Calibri" w:eastAsia="Calibri" w:hAnsi="Calibri" w:cs="Calibri"/>
          <w:b/>
          <w:bCs/>
          <w:color w:val="1F4E79"/>
          <w:sz w:val="26"/>
          <w:szCs w:val="26"/>
        </w:rPr>
        <w:t>2. Résultats</w:t>
      </w:r>
    </w:p>
    <w:p w14:paraId="04F158A2" w14:textId="77777777" w:rsidR="005B7899" w:rsidRDefault="00000000">
      <w:pPr>
        <w:pStyle w:val="Paragraphedeliste"/>
        <w:numPr>
          <w:ilvl w:val="0"/>
          <w:numId w:val="2"/>
        </w:numPr>
        <w:spacing w:after="50" w:line="259" w:lineRule="auto"/>
      </w:pPr>
      <w:r>
        <w:rPr>
          <w:rFonts w:ascii="Calibri" w:eastAsia="Calibri" w:hAnsi="Calibri" w:cs="Calibri"/>
          <w:b/>
          <w:bCs/>
          <w:sz w:val="21"/>
          <w:szCs w:val="21"/>
        </w:rPr>
        <w:t xml:space="preserve">Une hausse continue jusqu'en 2024. </w:t>
      </w:r>
      <w:r>
        <w:rPr>
          <w:rFonts w:ascii="Calibri" w:eastAsia="Calibri" w:hAnsi="Calibri" w:cs="Calibri"/>
          <w:sz w:val="21"/>
          <w:szCs w:val="21"/>
        </w:rPr>
        <w:t xml:space="preserve">Les défaillances passent de 12.397 en 2022 à 14.245 en 2023 (+14,9 %), puis à 15.658 en 2024 (+9,9 %), un record. </w:t>
      </w:r>
      <w:proofErr w:type="spellStart"/>
      <w:r>
        <w:rPr>
          <w:rFonts w:ascii="Calibri" w:eastAsia="Calibri" w:hAnsi="Calibri" w:cs="Calibri"/>
          <w:sz w:val="21"/>
          <w:szCs w:val="21"/>
        </w:rPr>
        <w:t>Inforisk</w:t>
      </w:r>
      <w:proofErr w:type="spellEnd"/>
      <w:r>
        <w:rPr>
          <w:rFonts w:ascii="Calibri" w:eastAsia="Calibri" w:hAnsi="Calibri" w:cs="Calibri"/>
          <w:sz w:val="21"/>
          <w:szCs w:val="21"/>
        </w:rPr>
        <w:t xml:space="preserve"> rappelle que la hausse moyenne est d'environ 14 % par an entre 2009 et 2024, hors Covid.</w:t>
      </w:r>
    </w:p>
    <w:p w14:paraId="39E1E225" w14:textId="77777777" w:rsidR="005B7899" w:rsidRDefault="00000000">
      <w:pPr>
        <w:pStyle w:val="Paragraphedeliste"/>
        <w:numPr>
          <w:ilvl w:val="0"/>
          <w:numId w:val="2"/>
        </w:numPr>
        <w:spacing w:after="50" w:line="259" w:lineRule="auto"/>
      </w:pPr>
      <w:r>
        <w:rPr>
          <w:rFonts w:ascii="Calibri" w:eastAsia="Calibri" w:hAnsi="Calibri" w:cs="Calibri"/>
          <w:b/>
          <w:bCs/>
          <w:sz w:val="21"/>
          <w:szCs w:val="21"/>
        </w:rPr>
        <w:t xml:space="preserve">Un léger recul en 2025. </w:t>
      </w:r>
      <w:r>
        <w:rPr>
          <w:rFonts w:ascii="Calibri" w:eastAsia="Calibri" w:hAnsi="Calibri" w:cs="Calibri"/>
          <w:sz w:val="21"/>
          <w:szCs w:val="21"/>
        </w:rPr>
        <w:t xml:space="preserve">Le total tombe à 15.307. Le calcul sur mes données donne -2,2 %, alors que la presse annonce -3,3 % : l'écart vient probablement d'une révision du chiffre 2024 par </w:t>
      </w:r>
      <w:proofErr w:type="spellStart"/>
      <w:r>
        <w:rPr>
          <w:rFonts w:ascii="Calibri" w:eastAsia="Calibri" w:hAnsi="Calibri" w:cs="Calibri"/>
          <w:sz w:val="21"/>
          <w:szCs w:val="21"/>
        </w:rPr>
        <w:t>Inforisk</w:t>
      </w:r>
      <w:proofErr w:type="spellEnd"/>
      <w:r>
        <w:rPr>
          <w:rFonts w:ascii="Calibri" w:eastAsia="Calibri" w:hAnsi="Calibri" w:cs="Calibri"/>
          <w:sz w:val="21"/>
          <w:szCs w:val="21"/>
        </w:rPr>
        <w:t>.</w:t>
      </w:r>
    </w:p>
    <w:p w14:paraId="29AD6E20" w14:textId="77777777" w:rsidR="005B7899" w:rsidRDefault="00000000">
      <w:pPr>
        <w:pStyle w:val="Paragraphedeliste"/>
        <w:numPr>
          <w:ilvl w:val="0"/>
          <w:numId w:val="2"/>
        </w:numPr>
        <w:spacing w:after="50" w:line="259" w:lineRule="auto"/>
      </w:pPr>
      <w:r>
        <w:rPr>
          <w:rFonts w:ascii="Calibri" w:eastAsia="Calibri" w:hAnsi="Calibri" w:cs="Calibri"/>
          <w:b/>
          <w:bCs/>
          <w:sz w:val="21"/>
          <w:szCs w:val="21"/>
        </w:rPr>
        <w:t xml:space="preserve">Ce sont surtout les très petites entreprises qui tombent. </w:t>
      </w:r>
      <w:r>
        <w:rPr>
          <w:rFonts w:ascii="Calibri" w:eastAsia="Calibri" w:hAnsi="Calibri" w:cs="Calibri"/>
          <w:sz w:val="21"/>
          <w:szCs w:val="21"/>
        </w:rPr>
        <w:t>En 2025, les TPE représentent 98,8 % des défaillances, les entreprises moyennes 1,1 % (environ 170 cas) et les grandes 0,1 % (une quinzaine). Les grandes PME sont donc rarement défaillantes.</w:t>
      </w:r>
    </w:p>
    <w:p w14:paraId="7D667C71" w14:textId="77777777" w:rsidR="005B7899" w:rsidRDefault="00000000">
      <w:pPr>
        <w:pStyle w:val="Paragraphedeliste"/>
        <w:numPr>
          <w:ilvl w:val="0"/>
          <w:numId w:val="2"/>
        </w:numPr>
        <w:spacing w:after="50" w:line="259" w:lineRule="auto"/>
      </w:pPr>
      <w:r>
        <w:rPr>
          <w:rFonts w:ascii="Calibri" w:eastAsia="Calibri" w:hAnsi="Calibri" w:cs="Calibri"/>
          <w:b/>
          <w:bCs/>
          <w:sz w:val="21"/>
          <w:szCs w:val="21"/>
        </w:rPr>
        <w:lastRenderedPageBreak/>
        <w:t xml:space="preserve">Trois secteurs dominent en 2024 : </w:t>
      </w:r>
      <w:r>
        <w:rPr>
          <w:rFonts w:ascii="Calibri" w:eastAsia="Calibri" w:hAnsi="Calibri" w:cs="Calibri"/>
          <w:sz w:val="21"/>
          <w:szCs w:val="21"/>
        </w:rPr>
        <w:t>commerce (33 %), immobilier (20 %) et BTP (15 %), devant le transport (9 %).</w:t>
      </w:r>
    </w:p>
    <w:p w14:paraId="5FC0EB71" w14:textId="77777777" w:rsidR="005B7899" w:rsidRDefault="00000000">
      <w:pPr>
        <w:pStyle w:val="Paragraphedeliste"/>
        <w:numPr>
          <w:ilvl w:val="0"/>
          <w:numId w:val="2"/>
        </w:numPr>
        <w:spacing w:after="50" w:line="259" w:lineRule="auto"/>
      </w:pPr>
      <w:r>
        <w:rPr>
          <w:rFonts w:ascii="Calibri" w:eastAsia="Calibri" w:hAnsi="Calibri" w:cs="Calibri"/>
          <w:b/>
          <w:bCs/>
          <w:sz w:val="21"/>
          <w:szCs w:val="21"/>
        </w:rPr>
        <w:t xml:space="preserve">Une concentration géographique. </w:t>
      </w:r>
      <w:r>
        <w:rPr>
          <w:rFonts w:ascii="Calibri" w:eastAsia="Calibri" w:hAnsi="Calibri" w:cs="Calibri"/>
          <w:sz w:val="21"/>
          <w:szCs w:val="21"/>
        </w:rPr>
        <w:t>Casablanca pèse 25 % des cas, et avec Rabat, Tanger et Marrakech on atteint 46 %, ce qui reflète la concentration de l'activité économique.</w:t>
      </w:r>
    </w:p>
    <w:p w14:paraId="07153994" w14:textId="77777777" w:rsidR="005B7899" w:rsidRDefault="00000000">
      <w:pPr>
        <w:pStyle w:val="Titre1"/>
        <w:spacing w:before="200" w:after="80"/>
      </w:pPr>
      <w:r>
        <w:rPr>
          <w:rFonts w:ascii="Calibri" w:eastAsia="Calibri" w:hAnsi="Calibri" w:cs="Calibri"/>
          <w:b/>
          <w:bCs/>
          <w:color w:val="1F4E79"/>
          <w:sz w:val="26"/>
          <w:szCs w:val="26"/>
        </w:rPr>
        <w:t>3. Analyse : pourquoi ces entreprises font-elles faillite ?</w:t>
      </w:r>
    </w:p>
    <w:p w14:paraId="544E88FA" w14:textId="77777777" w:rsidR="005B7899" w:rsidRDefault="00000000">
      <w:pPr>
        <w:spacing w:after="100" w:line="264" w:lineRule="auto"/>
        <w:jc w:val="both"/>
      </w:pPr>
      <w:r>
        <w:rPr>
          <w:rFonts w:ascii="Calibri" w:eastAsia="Calibri" w:hAnsi="Calibri" w:cs="Calibri"/>
          <w:b/>
          <w:bCs/>
          <w:sz w:val="21"/>
          <w:szCs w:val="21"/>
        </w:rPr>
        <w:t xml:space="preserve">Les retards de paiement. </w:t>
      </w:r>
      <w:r>
        <w:rPr>
          <w:rFonts w:ascii="Calibri" w:eastAsia="Calibri" w:hAnsi="Calibri" w:cs="Calibri"/>
          <w:sz w:val="21"/>
          <w:szCs w:val="21"/>
        </w:rPr>
        <w:t xml:space="preserve">Selon </w:t>
      </w:r>
      <w:proofErr w:type="spellStart"/>
      <w:r>
        <w:rPr>
          <w:rFonts w:ascii="Calibri" w:eastAsia="Calibri" w:hAnsi="Calibri" w:cs="Calibri"/>
          <w:sz w:val="21"/>
          <w:szCs w:val="21"/>
        </w:rPr>
        <w:t>Inforisk</w:t>
      </w:r>
      <w:proofErr w:type="spellEnd"/>
      <w:r>
        <w:rPr>
          <w:rFonts w:ascii="Calibri" w:eastAsia="Calibri" w:hAnsi="Calibri" w:cs="Calibri"/>
          <w:sz w:val="21"/>
          <w:szCs w:val="21"/>
        </w:rPr>
        <w:t>, environ 40 % des défaillances sont liées aux délais de paiement, de très loin la première cause. Quand un grand donneur d'ordre paie tard, c'est le fournisseur qui finance sa trésorerie : une entreprise rentable peut alors manquer de liquidités pour payer salaires, loyers et crédits. Cela explique aussi la forte présence du commerce, de l'immobilier et du BTP, secteurs exposés aux délais de paiement, aux fluctuations de la demande et à la hausse des coûts.</w:t>
      </w:r>
    </w:p>
    <w:p w14:paraId="63E9D116" w14:textId="77777777" w:rsidR="005B7899" w:rsidRDefault="00000000">
      <w:pPr>
        <w:spacing w:after="100" w:line="264" w:lineRule="auto"/>
        <w:jc w:val="both"/>
      </w:pPr>
      <w:r>
        <w:rPr>
          <w:rFonts w:ascii="Calibri" w:eastAsia="Calibri" w:hAnsi="Calibri" w:cs="Calibri"/>
          <w:b/>
          <w:bCs/>
          <w:sz w:val="21"/>
          <w:szCs w:val="21"/>
        </w:rPr>
        <w:t xml:space="preserve">La fin des aides post-Covid. </w:t>
      </w:r>
      <w:proofErr w:type="spellStart"/>
      <w:r>
        <w:rPr>
          <w:rFonts w:ascii="Calibri" w:eastAsia="Calibri" w:hAnsi="Calibri" w:cs="Calibri"/>
          <w:sz w:val="21"/>
          <w:szCs w:val="21"/>
        </w:rPr>
        <w:t>Inforisk</w:t>
      </w:r>
      <w:proofErr w:type="spellEnd"/>
      <w:r>
        <w:rPr>
          <w:rFonts w:ascii="Calibri" w:eastAsia="Calibri" w:hAnsi="Calibri" w:cs="Calibri"/>
          <w:sz w:val="21"/>
          <w:szCs w:val="21"/>
        </w:rPr>
        <w:t xml:space="preserve"> note que le libre marché a repris ses droits dès 2021, avec la fin des prêts garantis par l'État et des autres aides. Cela a fait remonter les défaillances vers de nouveaux niveaux, tandis que l'inflation et les taux d'intérêt élevés ont renchéri les frais financiers et compliqué l'accès au crédit.</w:t>
      </w:r>
    </w:p>
    <w:p w14:paraId="1C0712E9" w14:textId="77777777" w:rsidR="005B7899" w:rsidRDefault="00000000">
      <w:pPr>
        <w:spacing w:after="100" w:line="264" w:lineRule="auto"/>
        <w:jc w:val="both"/>
      </w:pPr>
      <w:r>
        <w:rPr>
          <w:rFonts w:ascii="Calibri" w:eastAsia="Calibri" w:hAnsi="Calibri" w:cs="Calibri"/>
          <w:b/>
          <w:bCs/>
          <w:sz w:val="21"/>
          <w:szCs w:val="21"/>
        </w:rPr>
        <w:t xml:space="preserve">La conjoncture. </w:t>
      </w:r>
      <w:r>
        <w:rPr>
          <w:rFonts w:ascii="Calibri" w:eastAsia="Calibri" w:hAnsi="Calibri" w:cs="Calibri"/>
          <w:sz w:val="21"/>
          <w:szCs w:val="21"/>
        </w:rPr>
        <w:t xml:space="preserve">Le recul de 2025 coïncide avec une croissance du PIB de 5 %, 20 millions de touristes, une inflation de 0,8 % et les chantiers liés à la CAN 2025 et à la Coupe du monde 2030. Il coïncide aussi avec l'application de la loi 69-21 sur les délais de paiement (60 jours par défaut, 120 jours au maximum par contrat, sanctions pour les factures depuis janvier 2025). </w:t>
      </w:r>
      <w:proofErr w:type="spellStart"/>
      <w:r>
        <w:rPr>
          <w:rFonts w:ascii="Calibri" w:eastAsia="Calibri" w:hAnsi="Calibri" w:cs="Calibri"/>
          <w:sz w:val="21"/>
          <w:szCs w:val="21"/>
        </w:rPr>
        <w:t>Inforisk</w:t>
      </w:r>
      <w:proofErr w:type="spellEnd"/>
      <w:r>
        <w:rPr>
          <w:rFonts w:ascii="Calibri" w:eastAsia="Calibri" w:hAnsi="Calibri" w:cs="Calibri"/>
          <w:sz w:val="21"/>
          <w:szCs w:val="21"/>
        </w:rPr>
        <w:t xml:space="preserve"> observe une amélioration chez les grands donneurs d'ordres privés, mais précise que la réforme ne profite pas de la même façon à toutes les entreprises.</w:t>
      </w:r>
    </w:p>
    <w:p w14:paraId="566D26EC" w14:textId="77777777" w:rsidR="005B7899" w:rsidRDefault="00000000">
      <w:pPr>
        <w:spacing w:after="100" w:line="264" w:lineRule="auto"/>
        <w:jc w:val="both"/>
      </w:pPr>
      <w:r>
        <w:rPr>
          <w:rFonts w:ascii="Calibri" w:eastAsia="Calibri" w:hAnsi="Calibri" w:cs="Calibri"/>
          <w:b/>
          <w:bCs/>
          <w:sz w:val="21"/>
          <w:szCs w:val="21"/>
        </w:rPr>
        <w:t xml:space="preserve">La gouvernance et le financement. </w:t>
      </w:r>
      <w:r>
        <w:rPr>
          <w:rFonts w:ascii="Calibri" w:eastAsia="Calibri" w:hAnsi="Calibri" w:cs="Calibri"/>
          <w:sz w:val="21"/>
          <w:szCs w:val="21"/>
        </w:rPr>
        <w:t>La littérature académique recommande de renforcer la gouvernance, l'accès au financement et les politiques publiques. Cette piste est plausible, mais mes données ne permettent pas de la mesurer.</w:t>
      </w:r>
    </w:p>
    <w:p w14:paraId="347B0101" w14:textId="77777777" w:rsidR="005B7899" w:rsidRDefault="00000000">
      <w:pPr>
        <w:pStyle w:val="Titre1"/>
        <w:spacing w:before="200" w:after="80"/>
      </w:pPr>
      <w:r>
        <w:rPr>
          <w:rFonts w:ascii="Calibri" w:eastAsia="Calibri" w:hAnsi="Calibri" w:cs="Calibri"/>
          <w:b/>
          <w:bCs/>
          <w:color w:val="1F4E79"/>
          <w:sz w:val="26"/>
          <w:szCs w:val="26"/>
        </w:rPr>
        <w:t>4. Limites</w:t>
      </w:r>
    </w:p>
    <w:p w14:paraId="6DE251F6" w14:textId="77777777" w:rsidR="005B7899" w:rsidRDefault="00000000">
      <w:pPr>
        <w:pStyle w:val="Paragraphedeliste"/>
        <w:numPr>
          <w:ilvl w:val="0"/>
          <w:numId w:val="2"/>
        </w:numPr>
        <w:spacing w:after="50" w:line="259" w:lineRule="auto"/>
      </w:pPr>
      <w:r>
        <w:rPr>
          <w:rFonts w:ascii="Calibri" w:eastAsia="Calibri" w:hAnsi="Calibri" w:cs="Calibri"/>
          <w:sz w:val="21"/>
          <w:szCs w:val="21"/>
        </w:rPr>
        <w:t xml:space="preserve">Les données sont agrégées et proviennent d'un seul fournisseur privé, </w:t>
      </w:r>
      <w:proofErr w:type="spellStart"/>
      <w:r>
        <w:rPr>
          <w:rFonts w:ascii="Calibri" w:eastAsia="Calibri" w:hAnsi="Calibri" w:cs="Calibri"/>
          <w:sz w:val="21"/>
          <w:szCs w:val="21"/>
        </w:rPr>
        <w:t>Inforisk</w:t>
      </w:r>
      <w:proofErr w:type="spellEnd"/>
      <w:r>
        <w:rPr>
          <w:rFonts w:ascii="Calibri" w:eastAsia="Calibri" w:hAnsi="Calibri" w:cs="Calibri"/>
          <w:sz w:val="21"/>
          <w:szCs w:val="21"/>
        </w:rPr>
        <w:t>, relayé par la presse. Je n'ai pas eu accès aux fichiers originaux.</w:t>
      </w:r>
    </w:p>
    <w:p w14:paraId="1E6F38F7" w14:textId="77777777" w:rsidR="005B7899" w:rsidRDefault="00000000">
      <w:pPr>
        <w:pStyle w:val="Paragraphedeliste"/>
        <w:numPr>
          <w:ilvl w:val="0"/>
          <w:numId w:val="2"/>
        </w:numPr>
        <w:spacing w:after="50" w:line="259" w:lineRule="auto"/>
      </w:pPr>
      <w:r>
        <w:rPr>
          <w:rFonts w:ascii="Calibri" w:eastAsia="Calibri" w:hAnsi="Calibri" w:cs="Calibri"/>
          <w:sz w:val="21"/>
          <w:szCs w:val="21"/>
        </w:rPr>
        <w:t xml:space="preserve">La série est courte (4 ans) et les chiffres de 2021 et avant sont absents du </w:t>
      </w:r>
      <w:proofErr w:type="spellStart"/>
      <w:r>
        <w:rPr>
          <w:rFonts w:ascii="Calibri" w:eastAsia="Calibri" w:hAnsi="Calibri" w:cs="Calibri"/>
          <w:sz w:val="21"/>
          <w:szCs w:val="21"/>
        </w:rPr>
        <w:t>dataset</w:t>
      </w:r>
      <w:proofErr w:type="spellEnd"/>
      <w:r>
        <w:rPr>
          <w:rFonts w:ascii="Calibri" w:eastAsia="Calibri" w:hAnsi="Calibri" w:cs="Calibri"/>
          <w:sz w:val="21"/>
          <w:szCs w:val="21"/>
        </w:rPr>
        <w:t>. Les secteurs et villes ne couvrent que 2024.</w:t>
      </w:r>
    </w:p>
    <w:p w14:paraId="2BE9131B" w14:textId="77777777" w:rsidR="005B7899" w:rsidRDefault="00000000">
      <w:pPr>
        <w:pStyle w:val="Paragraphedeliste"/>
        <w:numPr>
          <w:ilvl w:val="0"/>
          <w:numId w:val="2"/>
        </w:numPr>
        <w:spacing w:after="50" w:line="259" w:lineRule="auto"/>
      </w:pPr>
      <w:r>
        <w:rPr>
          <w:rFonts w:ascii="Calibri" w:eastAsia="Calibri" w:hAnsi="Calibri" w:cs="Calibri"/>
          <w:sz w:val="21"/>
          <w:szCs w:val="21"/>
        </w:rPr>
        <w:t>La cause « 40 % des retards de paiement » est un chiffre publié pour 2024, non détaillé par taille d'entreprise. Une corrélation n'est pas une preuve de causalité.</w:t>
      </w:r>
    </w:p>
    <w:p w14:paraId="278EAF34" w14:textId="77777777" w:rsidR="005B7899" w:rsidRDefault="00000000">
      <w:pPr>
        <w:pStyle w:val="Paragraphedeliste"/>
        <w:numPr>
          <w:ilvl w:val="0"/>
          <w:numId w:val="2"/>
        </w:numPr>
        <w:spacing w:after="50" w:line="259" w:lineRule="auto"/>
      </w:pPr>
      <w:r>
        <w:rPr>
          <w:rFonts w:ascii="Calibri" w:eastAsia="Calibri" w:hAnsi="Calibri" w:cs="Calibri"/>
          <w:sz w:val="21"/>
          <w:szCs w:val="21"/>
        </w:rPr>
        <w:t>Le « nombre approximatif » par taille est un calcul (part × total 2025), non un chiffre publié.</w:t>
      </w:r>
    </w:p>
    <w:p w14:paraId="27E420CE" w14:textId="77777777" w:rsidR="005B7899" w:rsidRDefault="00000000">
      <w:pPr>
        <w:pStyle w:val="Paragraphedeliste"/>
        <w:numPr>
          <w:ilvl w:val="0"/>
          <w:numId w:val="2"/>
        </w:numPr>
        <w:spacing w:after="50" w:line="259" w:lineRule="auto"/>
      </w:pPr>
      <w:proofErr w:type="spellStart"/>
      <w:r>
        <w:rPr>
          <w:rFonts w:ascii="Calibri" w:eastAsia="Calibri" w:hAnsi="Calibri" w:cs="Calibri"/>
          <w:sz w:val="21"/>
          <w:szCs w:val="21"/>
        </w:rPr>
        <w:t>Inforisk</w:t>
      </w:r>
      <w:proofErr w:type="spellEnd"/>
      <w:r>
        <w:rPr>
          <w:rFonts w:ascii="Calibri" w:eastAsia="Calibri" w:hAnsi="Calibri" w:cs="Calibri"/>
          <w:sz w:val="21"/>
          <w:szCs w:val="21"/>
        </w:rPr>
        <w:t xml:space="preserve"> compte les personnes morales défaillantes. Les sociétés « zombies » (plus de 300.000 d'après la DGI) ne figurent pas dans ces défaillances et peuvent masquer une partie du risque.</w:t>
      </w:r>
    </w:p>
    <w:p w14:paraId="75CB3A2D" w14:textId="77777777" w:rsidR="005B7899" w:rsidRDefault="00000000">
      <w:pPr>
        <w:pStyle w:val="Titre1"/>
        <w:spacing w:before="200" w:after="80"/>
      </w:pPr>
      <w:r>
        <w:rPr>
          <w:rFonts w:ascii="Calibri" w:eastAsia="Calibri" w:hAnsi="Calibri" w:cs="Calibri"/>
          <w:b/>
          <w:bCs/>
          <w:color w:val="1F4E79"/>
          <w:sz w:val="26"/>
          <w:szCs w:val="26"/>
        </w:rPr>
        <w:t>5. Conclusion</w:t>
      </w:r>
    </w:p>
    <w:p w14:paraId="1083CB29" w14:textId="77777777" w:rsidR="005B7899" w:rsidRDefault="00000000">
      <w:pPr>
        <w:spacing w:after="100" w:line="264" w:lineRule="auto"/>
        <w:jc w:val="both"/>
      </w:pPr>
      <w:r>
        <w:rPr>
          <w:rFonts w:ascii="Calibri" w:eastAsia="Calibri" w:hAnsi="Calibri" w:cs="Calibri"/>
          <w:sz w:val="21"/>
          <w:szCs w:val="21"/>
        </w:rPr>
        <w:t>Les défaillances d'entreprises au Maroc sont nombreuses (plus de 15.000 par an) et touchent presque exclusivement les TPE. Pour les PME et les grandes entreprises, le taux est très faible, même si l'effet de chaîne peut être important. Le facteur le plus documenté est le retard de paiement, aggravé par la fin des aides post-Covid et le coût du crédit. Le léger recul de 2025 est un début d'amélioration, dont la durabilité dépendra de l'application effective de la loi 69-21 et de la croissance.</w:t>
      </w:r>
    </w:p>
    <w:p w14:paraId="2B158C48" w14:textId="77777777" w:rsidR="005B7899" w:rsidRDefault="00000000">
      <w:pPr>
        <w:spacing w:after="100" w:line="264" w:lineRule="auto"/>
        <w:jc w:val="both"/>
      </w:pPr>
      <w:r>
        <w:rPr>
          <w:rFonts w:ascii="Calibri" w:eastAsia="Calibri" w:hAnsi="Calibri" w:cs="Calibri"/>
          <w:b/>
          <w:bCs/>
          <w:sz w:val="21"/>
          <w:szCs w:val="21"/>
        </w:rPr>
        <w:t xml:space="preserve">Sources principales : </w:t>
      </w:r>
      <w:proofErr w:type="spellStart"/>
      <w:r>
        <w:rPr>
          <w:rFonts w:ascii="Calibri" w:eastAsia="Calibri" w:hAnsi="Calibri" w:cs="Calibri"/>
          <w:i/>
          <w:iCs/>
          <w:sz w:val="21"/>
          <w:szCs w:val="21"/>
        </w:rPr>
        <w:t>Inforisk</w:t>
      </w:r>
      <w:proofErr w:type="spellEnd"/>
      <w:r>
        <w:rPr>
          <w:rFonts w:ascii="Calibri" w:eastAsia="Calibri" w:hAnsi="Calibri" w:cs="Calibri"/>
          <w:i/>
          <w:iCs/>
          <w:sz w:val="21"/>
          <w:szCs w:val="21"/>
        </w:rPr>
        <w:t xml:space="preserve"> (inforisk.ma), Le360, Médias24, FNH, Industries.ma, </w:t>
      </w:r>
      <w:proofErr w:type="spellStart"/>
      <w:r>
        <w:rPr>
          <w:rFonts w:ascii="Calibri" w:eastAsia="Calibri" w:hAnsi="Calibri" w:cs="Calibri"/>
          <w:i/>
          <w:iCs/>
          <w:sz w:val="21"/>
          <w:szCs w:val="21"/>
        </w:rPr>
        <w:t>African</w:t>
      </w:r>
      <w:proofErr w:type="spellEnd"/>
      <w:r>
        <w:rPr>
          <w:rFonts w:ascii="Calibri" w:eastAsia="Calibri" w:hAnsi="Calibri" w:cs="Calibri"/>
          <w:i/>
          <w:iCs/>
          <w:sz w:val="21"/>
          <w:szCs w:val="21"/>
        </w:rPr>
        <w:t xml:space="preserve"> Scientific Journal (Ech-</w:t>
      </w:r>
      <w:proofErr w:type="spellStart"/>
      <w:r>
        <w:rPr>
          <w:rFonts w:ascii="Calibri" w:eastAsia="Calibri" w:hAnsi="Calibri" w:cs="Calibri"/>
          <w:i/>
          <w:iCs/>
          <w:sz w:val="21"/>
          <w:szCs w:val="21"/>
        </w:rPr>
        <w:t>Chafi</w:t>
      </w:r>
      <w:proofErr w:type="spellEnd"/>
      <w:r>
        <w:rPr>
          <w:rFonts w:ascii="Calibri" w:eastAsia="Calibri" w:hAnsi="Calibri" w:cs="Calibri"/>
          <w:i/>
          <w:iCs/>
          <w:sz w:val="21"/>
          <w:szCs w:val="21"/>
        </w:rPr>
        <w:t xml:space="preserve"> &amp; Ait Ali, 2024). Les URL exactes figurent dans chaque fichier CSV.</w:t>
      </w:r>
    </w:p>
    <w:sectPr w:rsidR="005B7899">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714C3"/>
    <w:multiLevelType w:val="hybridMultilevel"/>
    <w:tmpl w:val="60728772"/>
    <w:lvl w:ilvl="0" w:tplc="C55C09EC">
      <w:start w:val="1"/>
      <w:numFmt w:val="bullet"/>
      <w:lvlText w:val="•"/>
      <w:lvlJc w:val="left"/>
      <w:pPr>
        <w:ind w:left="540" w:hanging="270"/>
      </w:pPr>
    </w:lvl>
    <w:lvl w:ilvl="1" w:tplc="F28EF13C">
      <w:numFmt w:val="decimal"/>
      <w:lvlText w:val=""/>
      <w:lvlJc w:val="left"/>
    </w:lvl>
    <w:lvl w:ilvl="2" w:tplc="1A6E488A">
      <w:numFmt w:val="decimal"/>
      <w:lvlText w:val=""/>
      <w:lvlJc w:val="left"/>
    </w:lvl>
    <w:lvl w:ilvl="3" w:tplc="6366AE26">
      <w:numFmt w:val="decimal"/>
      <w:lvlText w:val=""/>
      <w:lvlJc w:val="left"/>
    </w:lvl>
    <w:lvl w:ilvl="4" w:tplc="5B2AB8BC">
      <w:numFmt w:val="decimal"/>
      <w:lvlText w:val=""/>
      <w:lvlJc w:val="left"/>
    </w:lvl>
    <w:lvl w:ilvl="5" w:tplc="9E2681B2">
      <w:numFmt w:val="decimal"/>
      <w:lvlText w:val=""/>
      <w:lvlJc w:val="left"/>
    </w:lvl>
    <w:lvl w:ilvl="6" w:tplc="FE408CE2">
      <w:numFmt w:val="decimal"/>
      <w:lvlText w:val=""/>
      <w:lvlJc w:val="left"/>
    </w:lvl>
    <w:lvl w:ilvl="7" w:tplc="3C68E9A2">
      <w:numFmt w:val="decimal"/>
      <w:lvlText w:val=""/>
      <w:lvlJc w:val="left"/>
    </w:lvl>
    <w:lvl w:ilvl="8" w:tplc="A1B88336">
      <w:numFmt w:val="decimal"/>
      <w:lvlText w:val=""/>
      <w:lvlJc w:val="left"/>
    </w:lvl>
  </w:abstractNum>
  <w:abstractNum w:abstractNumId="1" w15:restartNumberingAfterBreak="0">
    <w:nsid w:val="365340F6"/>
    <w:multiLevelType w:val="hybridMultilevel"/>
    <w:tmpl w:val="DB6A0E28"/>
    <w:lvl w:ilvl="0" w:tplc="997C9D7A">
      <w:start w:val="1"/>
      <w:numFmt w:val="bullet"/>
      <w:lvlText w:val="●"/>
      <w:lvlJc w:val="left"/>
      <w:pPr>
        <w:ind w:left="720" w:hanging="360"/>
      </w:pPr>
    </w:lvl>
    <w:lvl w:ilvl="1" w:tplc="E8442192">
      <w:start w:val="1"/>
      <w:numFmt w:val="bullet"/>
      <w:lvlText w:val="○"/>
      <w:lvlJc w:val="left"/>
      <w:pPr>
        <w:ind w:left="1440" w:hanging="360"/>
      </w:pPr>
    </w:lvl>
    <w:lvl w:ilvl="2" w:tplc="54D28B80">
      <w:start w:val="1"/>
      <w:numFmt w:val="bullet"/>
      <w:lvlText w:val="■"/>
      <w:lvlJc w:val="left"/>
      <w:pPr>
        <w:ind w:left="2160" w:hanging="360"/>
      </w:pPr>
    </w:lvl>
    <w:lvl w:ilvl="3" w:tplc="3774C506">
      <w:start w:val="1"/>
      <w:numFmt w:val="bullet"/>
      <w:lvlText w:val="●"/>
      <w:lvlJc w:val="left"/>
      <w:pPr>
        <w:ind w:left="2880" w:hanging="360"/>
      </w:pPr>
    </w:lvl>
    <w:lvl w:ilvl="4" w:tplc="045E0BF0">
      <w:start w:val="1"/>
      <w:numFmt w:val="bullet"/>
      <w:lvlText w:val="○"/>
      <w:lvlJc w:val="left"/>
      <w:pPr>
        <w:ind w:left="3600" w:hanging="360"/>
      </w:pPr>
    </w:lvl>
    <w:lvl w:ilvl="5" w:tplc="65168126">
      <w:start w:val="1"/>
      <w:numFmt w:val="bullet"/>
      <w:lvlText w:val="■"/>
      <w:lvlJc w:val="left"/>
      <w:pPr>
        <w:ind w:left="4320" w:hanging="360"/>
      </w:pPr>
    </w:lvl>
    <w:lvl w:ilvl="6" w:tplc="21CCD7FA">
      <w:start w:val="1"/>
      <w:numFmt w:val="bullet"/>
      <w:lvlText w:val="●"/>
      <w:lvlJc w:val="left"/>
      <w:pPr>
        <w:ind w:left="5040" w:hanging="360"/>
      </w:pPr>
    </w:lvl>
    <w:lvl w:ilvl="7" w:tplc="219A775A">
      <w:start w:val="1"/>
      <w:numFmt w:val="bullet"/>
      <w:lvlText w:val="●"/>
      <w:lvlJc w:val="left"/>
      <w:pPr>
        <w:ind w:left="5760" w:hanging="360"/>
      </w:pPr>
    </w:lvl>
    <w:lvl w:ilvl="8" w:tplc="2D2EB5A0">
      <w:start w:val="1"/>
      <w:numFmt w:val="bullet"/>
      <w:lvlText w:val="●"/>
      <w:lvlJc w:val="left"/>
      <w:pPr>
        <w:ind w:left="6480" w:hanging="360"/>
      </w:pPr>
    </w:lvl>
  </w:abstractNum>
  <w:num w:numId="1" w16cid:durableId="1910531924">
    <w:abstractNumId w:val="1"/>
    <w:lvlOverride w:ilvl="0">
      <w:startOverride w:val="1"/>
    </w:lvlOverride>
  </w:num>
  <w:num w:numId="2" w16cid:durableId="1041780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899"/>
    <w:rsid w:val="005B7899"/>
    <w:rsid w:val="00CA2D3C"/>
    <w:rsid w:val="00FB681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97B1"/>
  <w15:docId w15:val="{587F3583-5867-4542-9C87-D303B3E5C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815</Words>
  <Characters>4483</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Soufiane EL AZILE</cp:lastModifiedBy>
  <cp:revision>2</cp:revision>
  <dcterms:created xsi:type="dcterms:W3CDTF">2026-09-29T13:05:00Z</dcterms:created>
  <dcterms:modified xsi:type="dcterms:W3CDTF">2026-09-29T13:05:00Z</dcterms:modified>
</cp:coreProperties>
</file>