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9AC19" w14:textId="77777777" w:rsidR="005B7899" w:rsidRPr="00DE0887" w:rsidRDefault="00000000">
      <w:pPr>
        <w:spacing w:after="60"/>
        <w:jc w:val="center"/>
        <w:rPr>
          <w:rFonts w:asciiTheme="majorBidi" w:eastAsia="Calibri" w:hAnsiTheme="majorBidi" w:cstheme="majorBidi"/>
          <w:b/>
          <w:bCs/>
          <w:color w:val="1F4E79"/>
          <w:sz w:val="40"/>
          <w:szCs w:val="40"/>
        </w:rPr>
      </w:pPr>
      <w:r w:rsidRPr="00DE0887">
        <w:rPr>
          <w:rFonts w:asciiTheme="majorBidi" w:eastAsia="Calibri" w:hAnsiTheme="majorBidi" w:cstheme="majorBidi"/>
          <w:b/>
          <w:bCs/>
          <w:color w:val="1F4E79"/>
          <w:sz w:val="40"/>
          <w:szCs w:val="40"/>
        </w:rPr>
        <w:t>Pourquoi les PME marocaines font-elles faillite ?</w:t>
      </w:r>
    </w:p>
    <w:p w14:paraId="4C89E6C6" w14:textId="77777777" w:rsidR="00CA2D3C" w:rsidRDefault="00CA2D3C">
      <w:pPr>
        <w:spacing w:after="60"/>
        <w:jc w:val="center"/>
      </w:pPr>
    </w:p>
    <w:p w14:paraId="360001D8" w14:textId="77777777" w:rsidR="005B7899" w:rsidRDefault="00000000">
      <w:pPr>
        <w:spacing w:before="80" w:after="40"/>
        <w:jc w:val="center"/>
      </w:pPr>
      <w:r>
        <w:rPr>
          <w:noProof/>
        </w:rPr>
        <w:drawing>
          <wp:inline distT="0" distB="0" distL="0" distR="0" wp14:anchorId="74B37C52" wp14:editId="24B551A6">
            <wp:extent cx="4953000" cy="3305175"/>
            <wp:effectExtent l="0" t="0" r="0" b="0"/>
            <wp:docPr id="1" name="graphique" descr="Défaillances au Maroc" titl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305175"/>
                    </a:xfrm>
                    <a:prstGeom prst="rect">
                      <a:avLst/>
                    </a:prstGeom>
                  </pic:spPr>
                </pic:pic>
              </a:graphicData>
            </a:graphic>
          </wp:inline>
        </w:drawing>
      </w:r>
    </w:p>
    <w:p w14:paraId="5424056F" w14:textId="77777777" w:rsidR="005B7899" w:rsidRPr="00DE0887" w:rsidRDefault="00000000">
      <w:pPr>
        <w:pStyle w:val="Titre1"/>
        <w:spacing w:before="200" w:after="80"/>
        <w:rPr>
          <w:rFonts w:asciiTheme="majorBidi" w:hAnsiTheme="majorBidi" w:cstheme="majorBidi"/>
        </w:rPr>
      </w:pPr>
      <w:r w:rsidRPr="00DE0887">
        <w:rPr>
          <w:rFonts w:asciiTheme="majorBidi" w:eastAsia="Calibri" w:hAnsiTheme="majorBidi" w:cstheme="majorBidi"/>
          <w:b/>
          <w:bCs/>
          <w:color w:val="1F4E79"/>
          <w:sz w:val="26"/>
          <w:szCs w:val="26"/>
        </w:rPr>
        <w:t>2. Résultats</w:t>
      </w:r>
    </w:p>
    <w:p w14:paraId="04F158A2"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b/>
          <w:bCs/>
          <w:sz w:val="21"/>
          <w:szCs w:val="21"/>
        </w:rPr>
        <w:t xml:space="preserve">Une hausse continue jusqu'en 2024. </w:t>
      </w:r>
      <w:r w:rsidRPr="00DE0887">
        <w:rPr>
          <w:rFonts w:asciiTheme="majorBidi" w:eastAsia="Calibri" w:hAnsiTheme="majorBidi" w:cstheme="majorBidi"/>
          <w:sz w:val="21"/>
          <w:szCs w:val="21"/>
        </w:rPr>
        <w:t xml:space="preserve">Les défaillances passent de 12.397 en 2022 à 14.245 en 2023 (+14,9 %), puis à 15.658 en 2024 (+9,9 %), un record. </w:t>
      </w:r>
      <w:proofErr w:type="spellStart"/>
      <w:r w:rsidRPr="00DE0887">
        <w:rPr>
          <w:rFonts w:asciiTheme="majorBidi" w:eastAsia="Calibri" w:hAnsiTheme="majorBidi" w:cstheme="majorBidi"/>
          <w:sz w:val="21"/>
          <w:szCs w:val="21"/>
        </w:rPr>
        <w:t>Inforisk</w:t>
      </w:r>
      <w:proofErr w:type="spellEnd"/>
      <w:r w:rsidRPr="00DE0887">
        <w:rPr>
          <w:rFonts w:asciiTheme="majorBidi" w:eastAsia="Calibri" w:hAnsiTheme="majorBidi" w:cstheme="majorBidi"/>
          <w:sz w:val="21"/>
          <w:szCs w:val="21"/>
        </w:rPr>
        <w:t xml:space="preserve"> rappelle que la hausse moyenne est d'environ 14 % par an entre 2009 et 2024, hors Covid.</w:t>
      </w:r>
    </w:p>
    <w:p w14:paraId="39E1E225"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b/>
          <w:bCs/>
          <w:sz w:val="21"/>
          <w:szCs w:val="21"/>
        </w:rPr>
        <w:t xml:space="preserve">Un léger recul en 2025. </w:t>
      </w:r>
      <w:r w:rsidRPr="00DE0887">
        <w:rPr>
          <w:rFonts w:asciiTheme="majorBidi" w:eastAsia="Calibri" w:hAnsiTheme="majorBidi" w:cstheme="majorBidi"/>
          <w:sz w:val="21"/>
          <w:szCs w:val="21"/>
        </w:rPr>
        <w:t xml:space="preserve">Le total tombe à 15.307. Le calcul sur mes données donne -2,2 %, alors que la presse annonce -3,3 % : l'écart vient probablement d'une révision du chiffre 2024 par </w:t>
      </w:r>
      <w:proofErr w:type="spellStart"/>
      <w:r w:rsidRPr="00DE0887">
        <w:rPr>
          <w:rFonts w:asciiTheme="majorBidi" w:eastAsia="Calibri" w:hAnsiTheme="majorBidi" w:cstheme="majorBidi"/>
          <w:sz w:val="21"/>
          <w:szCs w:val="21"/>
        </w:rPr>
        <w:t>Inforisk</w:t>
      </w:r>
      <w:proofErr w:type="spellEnd"/>
      <w:r w:rsidRPr="00DE0887">
        <w:rPr>
          <w:rFonts w:asciiTheme="majorBidi" w:eastAsia="Calibri" w:hAnsiTheme="majorBidi" w:cstheme="majorBidi"/>
          <w:sz w:val="21"/>
          <w:szCs w:val="21"/>
        </w:rPr>
        <w:t>.</w:t>
      </w:r>
    </w:p>
    <w:p w14:paraId="29AD6E20"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b/>
          <w:bCs/>
          <w:sz w:val="21"/>
          <w:szCs w:val="21"/>
        </w:rPr>
        <w:t xml:space="preserve">Ce sont surtout les très petites entreprises qui tombent. </w:t>
      </w:r>
      <w:r w:rsidRPr="00DE0887">
        <w:rPr>
          <w:rFonts w:asciiTheme="majorBidi" w:eastAsia="Calibri" w:hAnsiTheme="majorBidi" w:cstheme="majorBidi"/>
          <w:sz w:val="21"/>
          <w:szCs w:val="21"/>
        </w:rPr>
        <w:t>En 2025, les TPE représentent 98,8 % des défaillances, les entreprises moyennes 1,1 % (environ 170 cas) et les grandes 0,1 % (une quinzaine). Les grandes PME sont donc rarement défaillantes.</w:t>
      </w:r>
    </w:p>
    <w:p w14:paraId="7D667C71"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b/>
          <w:bCs/>
          <w:sz w:val="21"/>
          <w:szCs w:val="21"/>
        </w:rPr>
        <w:t xml:space="preserve">Trois secteurs dominent en 2024 : </w:t>
      </w:r>
      <w:r w:rsidRPr="00DE0887">
        <w:rPr>
          <w:rFonts w:asciiTheme="majorBidi" w:eastAsia="Calibri" w:hAnsiTheme="majorBidi" w:cstheme="majorBidi"/>
          <w:sz w:val="21"/>
          <w:szCs w:val="21"/>
        </w:rPr>
        <w:t>commerce (33 %), immobilier (20 %) et BTP (15 %), devant le transport (9 %).</w:t>
      </w:r>
    </w:p>
    <w:p w14:paraId="5FC0EB71"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b/>
          <w:bCs/>
          <w:sz w:val="21"/>
          <w:szCs w:val="21"/>
        </w:rPr>
        <w:t xml:space="preserve">Une concentration géographique. </w:t>
      </w:r>
      <w:r w:rsidRPr="00DE0887">
        <w:rPr>
          <w:rFonts w:asciiTheme="majorBidi" w:eastAsia="Calibri" w:hAnsiTheme="majorBidi" w:cstheme="majorBidi"/>
          <w:sz w:val="21"/>
          <w:szCs w:val="21"/>
        </w:rPr>
        <w:t>Casablanca pèse 25 % des cas, et avec Rabat, Tanger et Marrakech on atteint 46 %, ce qui reflète la concentration de l'activité économique.</w:t>
      </w:r>
    </w:p>
    <w:p w14:paraId="07153994" w14:textId="77777777" w:rsidR="005B7899" w:rsidRPr="00DE0887" w:rsidRDefault="00000000">
      <w:pPr>
        <w:pStyle w:val="Titre1"/>
        <w:spacing w:before="200" w:after="80"/>
        <w:rPr>
          <w:rFonts w:asciiTheme="majorBidi" w:hAnsiTheme="majorBidi" w:cstheme="majorBidi"/>
        </w:rPr>
      </w:pPr>
      <w:r w:rsidRPr="00DE0887">
        <w:rPr>
          <w:rFonts w:asciiTheme="majorBidi" w:eastAsia="Calibri" w:hAnsiTheme="majorBidi" w:cstheme="majorBidi"/>
          <w:b/>
          <w:bCs/>
          <w:color w:val="1F4E79"/>
          <w:sz w:val="26"/>
          <w:szCs w:val="26"/>
        </w:rPr>
        <w:t>3. Analyse : pourquoi ces entreprises font-elles faillite ?</w:t>
      </w:r>
    </w:p>
    <w:p w14:paraId="544E88FA" w14:textId="77777777" w:rsidR="005B7899" w:rsidRPr="00DE0887" w:rsidRDefault="00000000">
      <w:pPr>
        <w:spacing w:after="100" w:line="264" w:lineRule="auto"/>
        <w:jc w:val="both"/>
        <w:rPr>
          <w:rFonts w:asciiTheme="majorBidi" w:hAnsiTheme="majorBidi" w:cstheme="majorBidi"/>
        </w:rPr>
      </w:pPr>
      <w:r w:rsidRPr="00DE0887">
        <w:rPr>
          <w:rFonts w:asciiTheme="majorBidi" w:eastAsia="Calibri" w:hAnsiTheme="majorBidi" w:cstheme="majorBidi"/>
          <w:b/>
          <w:bCs/>
          <w:sz w:val="21"/>
          <w:szCs w:val="21"/>
        </w:rPr>
        <w:t xml:space="preserve">Les retards de paiement. </w:t>
      </w:r>
      <w:r w:rsidRPr="00DE0887">
        <w:rPr>
          <w:rFonts w:asciiTheme="majorBidi" w:eastAsia="Calibri" w:hAnsiTheme="majorBidi" w:cstheme="majorBidi"/>
          <w:sz w:val="21"/>
          <w:szCs w:val="21"/>
        </w:rPr>
        <w:t xml:space="preserve">Selon </w:t>
      </w:r>
      <w:proofErr w:type="spellStart"/>
      <w:r w:rsidRPr="00DE0887">
        <w:rPr>
          <w:rFonts w:asciiTheme="majorBidi" w:eastAsia="Calibri" w:hAnsiTheme="majorBidi" w:cstheme="majorBidi"/>
          <w:sz w:val="21"/>
          <w:szCs w:val="21"/>
        </w:rPr>
        <w:t>Inforisk</w:t>
      </w:r>
      <w:proofErr w:type="spellEnd"/>
      <w:r w:rsidRPr="00DE0887">
        <w:rPr>
          <w:rFonts w:asciiTheme="majorBidi" w:eastAsia="Calibri" w:hAnsiTheme="majorBidi" w:cstheme="majorBidi"/>
          <w:sz w:val="21"/>
          <w:szCs w:val="21"/>
        </w:rPr>
        <w:t>, environ 40 % des défaillances sont liées aux délais de paiement, de très loin la première cause. Quand un grand donneur d'ordre paie tard, c'est le fournisseur qui finance sa trésorerie : une entreprise rentable peut alors manquer de liquidités pour payer salaires, loyers et crédits. Cela explique aussi la forte présence du commerce, de l'immobilier et du BTP, secteurs exposés aux délais de paiement, aux fluctuations de la demande et à la hausse des coûts.</w:t>
      </w:r>
    </w:p>
    <w:p w14:paraId="63E9D116" w14:textId="77777777" w:rsidR="005B7899" w:rsidRPr="00DE0887" w:rsidRDefault="00000000">
      <w:pPr>
        <w:spacing w:after="100" w:line="264" w:lineRule="auto"/>
        <w:jc w:val="both"/>
        <w:rPr>
          <w:rFonts w:asciiTheme="majorBidi" w:hAnsiTheme="majorBidi" w:cstheme="majorBidi"/>
        </w:rPr>
      </w:pPr>
      <w:r w:rsidRPr="00DE0887">
        <w:rPr>
          <w:rFonts w:asciiTheme="majorBidi" w:eastAsia="Calibri" w:hAnsiTheme="majorBidi" w:cstheme="majorBidi"/>
          <w:b/>
          <w:bCs/>
          <w:sz w:val="21"/>
          <w:szCs w:val="21"/>
        </w:rPr>
        <w:t xml:space="preserve">La fin des aides post-Covid. </w:t>
      </w:r>
      <w:proofErr w:type="spellStart"/>
      <w:r w:rsidRPr="00DE0887">
        <w:rPr>
          <w:rFonts w:asciiTheme="majorBidi" w:eastAsia="Calibri" w:hAnsiTheme="majorBidi" w:cstheme="majorBidi"/>
          <w:sz w:val="21"/>
          <w:szCs w:val="21"/>
        </w:rPr>
        <w:t>Inforisk</w:t>
      </w:r>
      <w:proofErr w:type="spellEnd"/>
      <w:r w:rsidRPr="00DE0887">
        <w:rPr>
          <w:rFonts w:asciiTheme="majorBidi" w:eastAsia="Calibri" w:hAnsiTheme="majorBidi" w:cstheme="majorBidi"/>
          <w:sz w:val="21"/>
          <w:szCs w:val="21"/>
        </w:rPr>
        <w:t xml:space="preserve"> note que le libre marché a repris ses droits dès 2021, avec la fin des prêts garantis par l'État et des autres aides. Cela a fait remonter les défaillances vers de nouveaux niveaux, tandis que l'inflation et les taux d'intérêt élevés ont renchéri les frais financiers et compliqué l'accès au crédit.</w:t>
      </w:r>
    </w:p>
    <w:p w14:paraId="1C0712E9" w14:textId="77777777" w:rsidR="005B7899" w:rsidRPr="00DE0887" w:rsidRDefault="00000000">
      <w:pPr>
        <w:spacing w:after="100" w:line="264" w:lineRule="auto"/>
        <w:jc w:val="both"/>
        <w:rPr>
          <w:rFonts w:asciiTheme="majorBidi" w:hAnsiTheme="majorBidi" w:cstheme="majorBidi"/>
        </w:rPr>
      </w:pPr>
      <w:r w:rsidRPr="00DE0887">
        <w:rPr>
          <w:rFonts w:asciiTheme="majorBidi" w:eastAsia="Calibri" w:hAnsiTheme="majorBidi" w:cstheme="majorBidi"/>
          <w:b/>
          <w:bCs/>
          <w:sz w:val="21"/>
          <w:szCs w:val="21"/>
        </w:rPr>
        <w:t xml:space="preserve">La conjoncture. </w:t>
      </w:r>
      <w:r w:rsidRPr="00DE0887">
        <w:rPr>
          <w:rFonts w:asciiTheme="majorBidi" w:eastAsia="Calibri" w:hAnsiTheme="majorBidi" w:cstheme="majorBidi"/>
          <w:sz w:val="21"/>
          <w:szCs w:val="21"/>
        </w:rPr>
        <w:t xml:space="preserve">Le recul de 2025 coïncide avec une croissance du PIB de 5 %, 20 millions de touristes, une inflation de 0,8 % et les chantiers liés à la CAN 2025 et à la Coupe du monde 2030. Il coïncide aussi avec l'application de la loi 69-21 sur les délais de paiement (60 jours par défaut, 120 jours au maximum par contrat, sanctions pour les factures depuis janvier 2025). </w:t>
      </w:r>
      <w:proofErr w:type="spellStart"/>
      <w:r w:rsidRPr="00DE0887">
        <w:rPr>
          <w:rFonts w:asciiTheme="majorBidi" w:eastAsia="Calibri" w:hAnsiTheme="majorBidi" w:cstheme="majorBidi"/>
          <w:sz w:val="21"/>
          <w:szCs w:val="21"/>
        </w:rPr>
        <w:t>Inforisk</w:t>
      </w:r>
      <w:proofErr w:type="spellEnd"/>
      <w:r w:rsidRPr="00DE0887">
        <w:rPr>
          <w:rFonts w:asciiTheme="majorBidi" w:eastAsia="Calibri" w:hAnsiTheme="majorBidi" w:cstheme="majorBidi"/>
          <w:sz w:val="21"/>
          <w:szCs w:val="21"/>
        </w:rPr>
        <w:t xml:space="preserve"> observe une amélioration chez les grands donneurs d'ordres privés, mais précise que la réforme ne profite pas de la même façon à toutes les entreprises.</w:t>
      </w:r>
    </w:p>
    <w:p w14:paraId="566D26EC" w14:textId="77777777" w:rsidR="005B7899" w:rsidRPr="00DE0887" w:rsidRDefault="00000000">
      <w:pPr>
        <w:spacing w:after="100" w:line="264" w:lineRule="auto"/>
        <w:jc w:val="both"/>
        <w:rPr>
          <w:rFonts w:asciiTheme="majorBidi" w:hAnsiTheme="majorBidi" w:cstheme="majorBidi"/>
        </w:rPr>
      </w:pPr>
      <w:r w:rsidRPr="00DE0887">
        <w:rPr>
          <w:rFonts w:asciiTheme="majorBidi" w:eastAsia="Calibri" w:hAnsiTheme="majorBidi" w:cstheme="majorBidi"/>
          <w:b/>
          <w:bCs/>
          <w:sz w:val="21"/>
          <w:szCs w:val="21"/>
        </w:rPr>
        <w:lastRenderedPageBreak/>
        <w:t xml:space="preserve">La gouvernance et le financement. </w:t>
      </w:r>
      <w:r w:rsidRPr="00DE0887">
        <w:rPr>
          <w:rFonts w:asciiTheme="majorBidi" w:eastAsia="Calibri" w:hAnsiTheme="majorBidi" w:cstheme="majorBidi"/>
          <w:sz w:val="21"/>
          <w:szCs w:val="21"/>
        </w:rPr>
        <w:t>La littérature académique recommande de renforcer la gouvernance, l'accès au financement et les politiques publiques. Cette piste est plausible, mais mes données ne permettent pas de la mesurer.</w:t>
      </w:r>
    </w:p>
    <w:p w14:paraId="347B0101" w14:textId="77777777" w:rsidR="005B7899" w:rsidRPr="00DE0887" w:rsidRDefault="00000000">
      <w:pPr>
        <w:pStyle w:val="Titre1"/>
        <w:spacing w:before="200" w:after="80"/>
        <w:rPr>
          <w:rFonts w:asciiTheme="majorBidi" w:hAnsiTheme="majorBidi" w:cstheme="majorBidi"/>
        </w:rPr>
      </w:pPr>
      <w:r w:rsidRPr="00DE0887">
        <w:rPr>
          <w:rFonts w:asciiTheme="majorBidi" w:eastAsia="Calibri" w:hAnsiTheme="majorBidi" w:cstheme="majorBidi"/>
          <w:b/>
          <w:bCs/>
          <w:color w:val="1F4E79"/>
          <w:sz w:val="26"/>
          <w:szCs w:val="26"/>
        </w:rPr>
        <w:t>4. Limites</w:t>
      </w:r>
    </w:p>
    <w:p w14:paraId="6DE251F6"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sz w:val="21"/>
          <w:szCs w:val="21"/>
        </w:rPr>
        <w:t xml:space="preserve">Les données sont agrégées et proviennent d'un seul fournisseur privé, </w:t>
      </w:r>
      <w:proofErr w:type="spellStart"/>
      <w:r w:rsidRPr="00DE0887">
        <w:rPr>
          <w:rFonts w:asciiTheme="majorBidi" w:eastAsia="Calibri" w:hAnsiTheme="majorBidi" w:cstheme="majorBidi"/>
          <w:sz w:val="21"/>
          <w:szCs w:val="21"/>
        </w:rPr>
        <w:t>Inforisk</w:t>
      </w:r>
      <w:proofErr w:type="spellEnd"/>
      <w:r w:rsidRPr="00DE0887">
        <w:rPr>
          <w:rFonts w:asciiTheme="majorBidi" w:eastAsia="Calibri" w:hAnsiTheme="majorBidi" w:cstheme="majorBidi"/>
          <w:sz w:val="21"/>
          <w:szCs w:val="21"/>
        </w:rPr>
        <w:t>, relayé par la presse. Je n'ai pas eu accès aux fichiers originaux.</w:t>
      </w:r>
    </w:p>
    <w:p w14:paraId="1E6F38F7"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sz w:val="21"/>
          <w:szCs w:val="21"/>
        </w:rPr>
        <w:t xml:space="preserve">La série est courte (4 ans) et les chiffres de 2021 et avant sont absents du </w:t>
      </w:r>
      <w:proofErr w:type="spellStart"/>
      <w:r w:rsidRPr="00DE0887">
        <w:rPr>
          <w:rFonts w:asciiTheme="majorBidi" w:eastAsia="Calibri" w:hAnsiTheme="majorBidi" w:cstheme="majorBidi"/>
          <w:sz w:val="21"/>
          <w:szCs w:val="21"/>
        </w:rPr>
        <w:t>dataset</w:t>
      </w:r>
      <w:proofErr w:type="spellEnd"/>
      <w:r w:rsidRPr="00DE0887">
        <w:rPr>
          <w:rFonts w:asciiTheme="majorBidi" w:eastAsia="Calibri" w:hAnsiTheme="majorBidi" w:cstheme="majorBidi"/>
          <w:sz w:val="21"/>
          <w:szCs w:val="21"/>
        </w:rPr>
        <w:t>. Les secteurs et villes ne couvrent que 2024.</w:t>
      </w:r>
    </w:p>
    <w:p w14:paraId="2BE9131B"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sz w:val="21"/>
          <w:szCs w:val="21"/>
        </w:rPr>
        <w:t>La cause « 40 % des retards de paiement » est un chiffre publié pour 2024, non détaillé par taille d'entreprise. Une corrélation n'est pas une preuve de causalité.</w:t>
      </w:r>
    </w:p>
    <w:p w14:paraId="278EAF34" w14:textId="77777777" w:rsidR="005B7899" w:rsidRPr="00DE0887" w:rsidRDefault="00000000">
      <w:pPr>
        <w:pStyle w:val="Paragraphedeliste"/>
        <w:numPr>
          <w:ilvl w:val="0"/>
          <w:numId w:val="2"/>
        </w:numPr>
        <w:spacing w:after="50" w:line="259" w:lineRule="auto"/>
        <w:rPr>
          <w:rFonts w:asciiTheme="majorBidi" w:hAnsiTheme="majorBidi" w:cstheme="majorBidi"/>
        </w:rPr>
      </w:pPr>
      <w:r w:rsidRPr="00DE0887">
        <w:rPr>
          <w:rFonts w:asciiTheme="majorBidi" w:eastAsia="Calibri" w:hAnsiTheme="majorBidi" w:cstheme="majorBidi"/>
          <w:sz w:val="21"/>
          <w:szCs w:val="21"/>
        </w:rPr>
        <w:t>Le « nombre approximatif » par taille est un calcul (part × total 2025), non un chiffre publié.</w:t>
      </w:r>
    </w:p>
    <w:p w14:paraId="27E420CE" w14:textId="77777777" w:rsidR="005B7899" w:rsidRPr="00DE0887" w:rsidRDefault="00000000">
      <w:pPr>
        <w:pStyle w:val="Paragraphedeliste"/>
        <w:numPr>
          <w:ilvl w:val="0"/>
          <w:numId w:val="2"/>
        </w:numPr>
        <w:spacing w:after="50" w:line="259" w:lineRule="auto"/>
        <w:rPr>
          <w:rFonts w:asciiTheme="majorBidi" w:hAnsiTheme="majorBidi" w:cstheme="majorBidi"/>
        </w:rPr>
      </w:pPr>
      <w:proofErr w:type="spellStart"/>
      <w:r w:rsidRPr="00DE0887">
        <w:rPr>
          <w:rFonts w:asciiTheme="majorBidi" w:eastAsia="Calibri" w:hAnsiTheme="majorBidi" w:cstheme="majorBidi"/>
          <w:sz w:val="21"/>
          <w:szCs w:val="21"/>
        </w:rPr>
        <w:t>Inforisk</w:t>
      </w:r>
      <w:proofErr w:type="spellEnd"/>
      <w:r w:rsidRPr="00DE0887">
        <w:rPr>
          <w:rFonts w:asciiTheme="majorBidi" w:eastAsia="Calibri" w:hAnsiTheme="majorBidi" w:cstheme="majorBidi"/>
          <w:sz w:val="21"/>
          <w:szCs w:val="21"/>
        </w:rPr>
        <w:t xml:space="preserve"> compte les personnes morales défaillantes. Les sociétés « zombies » (plus de 300.000 d'après la DGI) ne figurent pas dans ces défaillances et peuvent masquer une partie du risque.</w:t>
      </w:r>
    </w:p>
    <w:p w14:paraId="75CB3A2D" w14:textId="77777777" w:rsidR="005B7899" w:rsidRPr="00DE0887" w:rsidRDefault="00000000">
      <w:pPr>
        <w:pStyle w:val="Titre1"/>
        <w:spacing w:before="200" w:after="80"/>
        <w:rPr>
          <w:rFonts w:asciiTheme="majorBidi" w:hAnsiTheme="majorBidi" w:cstheme="majorBidi"/>
        </w:rPr>
      </w:pPr>
      <w:r w:rsidRPr="00DE0887">
        <w:rPr>
          <w:rFonts w:asciiTheme="majorBidi" w:eastAsia="Calibri" w:hAnsiTheme="majorBidi" w:cstheme="majorBidi"/>
          <w:b/>
          <w:bCs/>
          <w:color w:val="1F4E79"/>
          <w:sz w:val="26"/>
          <w:szCs w:val="26"/>
        </w:rPr>
        <w:t>5. Conclusion</w:t>
      </w:r>
    </w:p>
    <w:p w14:paraId="1083CB29" w14:textId="77777777" w:rsidR="005B7899" w:rsidRPr="00DE0887" w:rsidRDefault="00000000">
      <w:pPr>
        <w:spacing w:after="100" w:line="264" w:lineRule="auto"/>
        <w:jc w:val="both"/>
        <w:rPr>
          <w:rFonts w:asciiTheme="majorBidi" w:hAnsiTheme="majorBidi" w:cstheme="majorBidi"/>
        </w:rPr>
      </w:pPr>
      <w:r w:rsidRPr="00DE0887">
        <w:rPr>
          <w:rFonts w:asciiTheme="majorBidi" w:eastAsia="Calibri" w:hAnsiTheme="majorBidi" w:cstheme="majorBidi"/>
          <w:sz w:val="21"/>
          <w:szCs w:val="21"/>
        </w:rPr>
        <w:t>Les défaillances d'entreprises au Maroc sont nombreuses (plus de 15.000 par an) et touchent presque exclusivement les TPE. Pour les PME et les grandes entreprises, le taux est très faible, même si l'effet de chaîne peut être important. Le facteur le plus documenté est le retard de paiement, aggravé par la fin des aides post-Covid et le coût du crédit. Le léger recul de 2025 est un début d'amélioration, dont la durabilité dépendra de l'application effective de la loi 69-21 et de la croissance.</w:t>
      </w:r>
    </w:p>
    <w:p w14:paraId="2B158C48" w14:textId="569D379F" w:rsidR="005B7899" w:rsidRDefault="005B7899">
      <w:pPr>
        <w:spacing w:after="100" w:line="264" w:lineRule="auto"/>
        <w:jc w:val="both"/>
        <w:rPr>
          <w:rFonts w:ascii="Calibri" w:eastAsia="Calibri" w:hAnsi="Calibri" w:cs="Calibri"/>
          <w:b/>
          <w:bCs/>
          <w:sz w:val="21"/>
          <w:szCs w:val="21"/>
        </w:rPr>
      </w:pPr>
    </w:p>
    <w:p w14:paraId="48EDD81E" w14:textId="77777777" w:rsidR="00DE0887" w:rsidRPr="006928DC" w:rsidRDefault="00DE0887" w:rsidP="00DE0887">
      <w:pPr>
        <w:rPr>
          <w:rFonts w:asciiTheme="majorBidi" w:hAnsiTheme="majorBidi" w:cstheme="majorBidi"/>
        </w:rPr>
      </w:pPr>
      <w:r>
        <w:rPr>
          <w:rFonts w:asciiTheme="majorBidi" w:hAnsiTheme="majorBidi" w:cstheme="majorBidi"/>
        </w:rPr>
        <w:t>Sources :</w:t>
      </w:r>
    </w:p>
    <w:p w14:paraId="6788C4D2" w14:textId="77777777" w:rsidR="00DE0887" w:rsidRPr="006928DC" w:rsidRDefault="00DE0887" w:rsidP="00DE0887">
      <w:pPr>
        <w:spacing w:after="160" w:line="278" w:lineRule="auto"/>
        <w:rPr>
          <w:rFonts w:asciiTheme="majorBidi" w:hAnsiTheme="majorBidi" w:cstheme="majorBidi"/>
          <w:b/>
          <w:bCs/>
        </w:rPr>
      </w:pPr>
      <w:r w:rsidRPr="006928DC">
        <w:rPr>
          <w:rFonts w:asciiTheme="majorBidi" w:hAnsiTheme="majorBidi" w:cstheme="majorBidi"/>
          <w:b/>
          <w:bCs/>
        </w:rPr>
        <w:t>Chiffres sur les défaillances</w:t>
      </w:r>
    </w:p>
    <w:p w14:paraId="04F3A8E6" w14:textId="77777777" w:rsidR="00DE0887" w:rsidRPr="006928DC" w:rsidRDefault="00DE0887" w:rsidP="00DE0887">
      <w:pPr>
        <w:numPr>
          <w:ilvl w:val="0"/>
          <w:numId w:val="3"/>
        </w:numPr>
        <w:spacing w:after="160" w:line="278" w:lineRule="auto"/>
        <w:rPr>
          <w:rFonts w:asciiTheme="majorBidi" w:hAnsiTheme="majorBidi" w:cstheme="majorBidi"/>
        </w:rPr>
      </w:pPr>
      <w:r w:rsidRPr="006928DC">
        <w:rPr>
          <w:rFonts w:asciiTheme="majorBidi" w:hAnsiTheme="majorBidi" w:cstheme="majorBidi"/>
          <w:b/>
          <w:bCs/>
        </w:rPr>
        <w:t>Baisse de 3,3 % en 2025, 15.307 cas, répartition TPE/PME/grandes entreprises, Casablanca-Settat, prévision 2026 :</w:t>
      </w:r>
      <w:r w:rsidRPr="006928DC">
        <w:rPr>
          <w:rFonts w:asciiTheme="majorBidi" w:hAnsiTheme="majorBidi" w:cstheme="majorBidi"/>
        </w:rPr>
        <w:t xml:space="preserve"> FNH, « Défaillances d'entreprises : baisse des faillites de 3,3% en 2025 » (données </w:t>
      </w:r>
      <w:proofErr w:type="spellStart"/>
      <w:r w:rsidRPr="006928DC">
        <w:rPr>
          <w:rFonts w:asciiTheme="majorBidi" w:hAnsiTheme="majorBidi" w:cstheme="majorBidi"/>
        </w:rPr>
        <w:t>Inforisk</w:t>
      </w:r>
      <w:proofErr w:type="spellEnd"/>
      <w:r w:rsidRPr="006928DC">
        <w:rPr>
          <w:rFonts w:asciiTheme="majorBidi" w:hAnsiTheme="majorBidi" w:cstheme="majorBidi"/>
        </w:rPr>
        <w:t xml:space="preserve">). </w:t>
      </w:r>
      <w:hyperlink r:id="rId6" w:history="1">
        <w:r w:rsidRPr="006928DC">
          <w:rPr>
            <w:rStyle w:val="Lienhypertexte"/>
            <w:rFonts w:asciiTheme="majorBidi" w:hAnsiTheme="majorBidi" w:cstheme="majorBidi"/>
          </w:rPr>
          <w:t>https://fnh.ma/article/actualite-economique/defaillances-entreprises-baisse-faillites</w:t>
        </w:r>
      </w:hyperlink>
    </w:p>
    <w:p w14:paraId="12A335A8" w14:textId="77777777" w:rsidR="00DE0887" w:rsidRPr="006928DC" w:rsidRDefault="00DE0887" w:rsidP="00DE0887">
      <w:pPr>
        <w:numPr>
          <w:ilvl w:val="0"/>
          <w:numId w:val="3"/>
        </w:numPr>
        <w:spacing w:after="160" w:line="278" w:lineRule="auto"/>
        <w:rPr>
          <w:rFonts w:asciiTheme="majorBidi" w:hAnsiTheme="majorBidi" w:cstheme="majorBidi"/>
        </w:rPr>
      </w:pPr>
      <w:r w:rsidRPr="006928DC">
        <w:rPr>
          <w:rFonts w:asciiTheme="majorBidi" w:hAnsiTheme="majorBidi" w:cstheme="majorBidi"/>
          <w:b/>
          <w:bCs/>
        </w:rPr>
        <w:t>Facteurs de la baisse en 2025 (PIB, tourisme, inflation, CAN/Mondial 2030), 300 000 sociétés zombies :</w:t>
      </w:r>
      <w:r w:rsidRPr="006928DC">
        <w:rPr>
          <w:rFonts w:asciiTheme="majorBidi" w:hAnsiTheme="majorBidi" w:cstheme="majorBidi"/>
        </w:rPr>
        <w:t xml:space="preserve"> </w:t>
      </w:r>
      <w:proofErr w:type="spellStart"/>
      <w:r w:rsidRPr="006928DC">
        <w:rPr>
          <w:rFonts w:asciiTheme="majorBidi" w:hAnsiTheme="majorBidi" w:cstheme="majorBidi"/>
        </w:rPr>
        <w:t>Inforisk</w:t>
      </w:r>
      <w:proofErr w:type="spellEnd"/>
      <w:r w:rsidRPr="006928DC">
        <w:rPr>
          <w:rFonts w:asciiTheme="majorBidi" w:hAnsiTheme="majorBidi" w:cstheme="majorBidi"/>
        </w:rPr>
        <w:t xml:space="preserve">, « Pourquoi le risque se concentre sur les 300 000 sociétés zombies ? ». </w:t>
      </w:r>
      <w:hyperlink r:id="rId7" w:history="1">
        <w:r w:rsidRPr="006928DC">
          <w:rPr>
            <w:rStyle w:val="Lienhypertexte"/>
            <w:rFonts w:asciiTheme="majorBidi" w:hAnsiTheme="majorBidi" w:cstheme="majorBidi"/>
          </w:rPr>
          <w:t>https://inforisk.ma/blog/2026/02/05/defaillances-dentreprises-au-maroc-pourquoi-le-risque-se-concentre-sur-les-300-000-societes-zombies/</w:t>
        </w:r>
      </w:hyperlink>
    </w:p>
    <w:p w14:paraId="1A4E270E" w14:textId="77777777" w:rsidR="00DE0887" w:rsidRPr="006928DC" w:rsidRDefault="00DE0887" w:rsidP="00DE0887">
      <w:pPr>
        <w:numPr>
          <w:ilvl w:val="0"/>
          <w:numId w:val="3"/>
        </w:numPr>
        <w:spacing w:after="160" w:line="278" w:lineRule="auto"/>
        <w:rPr>
          <w:rFonts w:asciiTheme="majorBidi" w:hAnsiTheme="majorBidi" w:cstheme="majorBidi"/>
        </w:rPr>
      </w:pPr>
      <w:r w:rsidRPr="006928DC">
        <w:rPr>
          <w:rFonts w:asciiTheme="majorBidi" w:hAnsiTheme="majorBidi" w:cstheme="majorBidi"/>
          <w:b/>
          <w:bCs/>
        </w:rPr>
        <w:t>40 % des défaillances liées aux délais de paiement, axe Casablanca-Rabat-Tanger à 43 % (premier semestre 2024) :</w:t>
      </w:r>
      <w:r w:rsidRPr="006928DC">
        <w:rPr>
          <w:rFonts w:asciiTheme="majorBidi" w:hAnsiTheme="majorBidi" w:cstheme="majorBidi"/>
        </w:rPr>
        <w:t xml:space="preserve"> Le360, « Entreprises : une hécatombe record ». </w:t>
      </w:r>
      <w:hyperlink r:id="rId8" w:history="1">
        <w:r w:rsidRPr="006928DC">
          <w:rPr>
            <w:rStyle w:val="Lienhypertexte"/>
            <w:rFonts w:asciiTheme="majorBidi" w:hAnsiTheme="majorBidi" w:cstheme="majorBidi"/>
          </w:rPr>
          <w:t>https://fr.le360.ma/economie/entreprises-une-hecatombe-record_6C26ER2A4NHF3OVTQIR5EOZ6ME/</w:t>
        </w:r>
      </w:hyperlink>
    </w:p>
    <w:p w14:paraId="433D0054" w14:textId="77777777" w:rsidR="00DE0887" w:rsidRPr="006928DC" w:rsidRDefault="00DE0887" w:rsidP="00DE0887">
      <w:pPr>
        <w:numPr>
          <w:ilvl w:val="0"/>
          <w:numId w:val="3"/>
        </w:numPr>
        <w:spacing w:after="160" w:line="278" w:lineRule="auto"/>
        <w:rPr>
          <w:rFonts w:asciiTheme="majorBidi" w:hAnsiTheme="majorBidi" w:cstheme="majorBidi"/>
        </w:rPr>
      </w:pPr>
      <w:r w:rsidRPr="006928DC">
        <w:rPr>
          <w:rFonts w:asciiTheme="majorBidi" w:hAnsiTheme="majorBidi" w:cstheme="majorBidi"/>
          <w:b/>
          <w:bCs/>
        </w:rPr>
        <w:t>Vigilance malgré la baisse en 2025 :</w:t>
      </w:r>
      <w:r w:rsidRPr="006928DC">
        <w:rPr>
          <w:rFonts w:asciiTheme="majorBidi" w:hAnsiTheme="majorBidi" w:cstheme="majorBidi"/>
        </w:rPr>
        <w:t xml:space="preserve"> page d'accueil d'</w:t>
      </w:r>
      <w:proofErr w:type="spellStart"/>
      <w:r w:rsidRPr="006928DC">
        <w:rPr>
          <w:rFonts w:asciiTheme="majorBidi" w:hAnsiTheme="majorBidi" w:cstheme="majorBidi"/>
        </w:rPr>
        <w:t>Inforisk</w:t>
      </w:r>
      <w:proofErr w:type="spellEnd"/>
      <w:r w:rsidRPr="006928DC">
        <w:rPr>
          <w:rFonts w:asciiTheme="majorBidi" w:hAnsiTheme="majorBidi" w:cstheme="majorBidi"/>
        </w:rPr>
        <w:t xml:space="preserve">. </w:t>
      </w:r>
      <w:hyperlink r:id="rId9" w:history="1">
        <w:r w:rsidRPr="006928DC">
          <w:rPr>
            <w:rStyle w:val="Lienhypertexte"/>
            <w:rFonts w:asciiTheme="majorBidi" w:hAnsiTheme="majorBidi" w:cstheme="majorBidi"/>
          </w:rPr>
          <w:t>https://inforisk.ma/</w:t>
        </w:r>
      </w:hyperlink>
    </w:p>
    <w:p w14:paraId="164271DB" w14:textId="77777777" w:rsidR="00DE0887" w:rsidRPr="006928DC" w:rsidRDefault="00DE0887" w:rsidP="00DE0887">
      <w:pPr>
        <w:spacing w:after="160" w:line="278" w:lineRule="auto"/>
        <w:rPr>
          <w:rFonts w:asciiTheme="majorBidi" w:hAnsiTheme="majorBidi" w:cstheme="majorBidi"/>
          <w:b/>
          <w:bCs/>
        </w:rPr>
      </w:pPr>
      <w:r w:rsidRPr="006928DC">
        <w:rPr>
          <w:rFonts w:asciiTheme="majorBidi" w:hAnsiTheme="majorBidi" w:cstheme="majorBidi"/>
          <w:b/>
          <w:bCs/>
        </w:rPr>
        <w:t>Délais de paiement et loi 69-21</w:t>
      </w:r>
    </w:p>
    <w:p w14:paraId="0E16A226" w14:textId="77777777" w:rsidR="00DE0887" w:rsidRPr="006928DC" w:rsidRDefault="00DE0887" w:rsidP="00DE0887">
      <w:pPr>
        <w:numPr>
          <w:ilvl w:val="0"/>
          <w:numId w:val="4"/>
        </w:numPr>
        <w:spacing w:after="160" w:line="278" w:lineRule="auto"/>
        <w:rPr>
          <w:rFonts w:asciiTheme="majorBidi" w:hAnsiTheme="majorBidi" w:cstheme="majorBidi"/>
        </w:rPr>
      </w:pPr>
      <w:r w:rsidRPr="006928DC">
        <w:rPr>
          <w:rFonts w:asciiTheme="majorBidi" w:hAnsiTheme="majorBidi" w:cstheme="majorBidi"/>
          <w:b/>
          <w:bCs/>
        </w:rPr>
        <w:t>Taux de 16 % de retards supérieurs à 90 jours, scores de défaillance et de solvabilité :</w:t>
      </w:r>
      <w:r w:rsidRPr="006928DC">
        <w:rPr>
          <w:rFonts w:asciiTheme="majorBidi" w:hAnsiTheme="majorBidi" w:cstheme="majorBidi"/>
        </w:rPr>
        <w:t xml:space="preserve"> FNH, « Risque d'impayés : la recette </w:t>
      </w:r>
      <w:proofErr w:type="spellStart"/>
      <w:r w:rsidRPr="006928DC">
        <w:rPr>
          <w:rFonts w:asciiTheme="majorBidi" w:hAnsiTheme="majorBidi" w:cstheme="majorBidi"/>
        </w:rPr>
        <w:t>Inforisk</w:t>
      </w:r>
      <w:proofErr w:type="spellEnd"/>
      <w:r w:rsidRPr="006928DC">
        <w:rPr>
          <w:rFonts w:asciiTheme="majorBidi" w:hAnsiTheme="majorBidi" w:cstheme="majorBidi"/>
        </w:rPr>
        <w:t xml:space="preserve"> pour les PME ». </w:t>
      </w:r>
      <w:hyperlink r:id="rId10" w:history="1">
        <w:r w:rsidRPr="006928DC">
          <w:rPr>
            <w:rStyle w:val="Lienhypertexte"/>
            <w:rFonts w:asciiTheme="majorBidi" w:hAnsiTheme="majorBidi" w:cstheme="majorBidi"/>
          </w:rPr>
          <w:t>https://fnh.ma/article/entreprises/risque-d-impayes-la-recette-inforisk-pour-les-pme</w:t>
        </w:r>
      </w:hyperlink>
    </w:p>
    <w:p w14:paraId="15573924" w14:textId="77777777" w:rsidR="00DE0887" w:rsidRPr="006928DC" w:rsidRDefault="00DE0887" w:rsidP="00DE0887">
      <w:pPr>
        <w:numPr>
          <w:ilvl w:val="0"/>
          <w:numId w:val="4"/>
        </w:numPr>
        <w:spacing w:after="160" w:line="278" w:lineRule="auto"/>
        <w:rPr>
          <w:rFonts w:asciiTheme="majorBidi" w:hAnsiTheme="majorBidi" w:cstheme="majorBidi"/>
        </w:rPr>
      </w:pPr>
      <w:r w:rsidRPr="006928DC">
        <w:rPr>
          <w:rFonts w:asciiTheme="majorBidi" w:hAnsiTheme="majorBidi" w:cstheme="majorBidi"/>
          <w:b/>
          <w:bCs/>
        </w:rPr>
        <w:t>Dernier maillon de la chaîne, zones d'ombre dans l'application de la loi :</w:t>
      </w:r>
      <w:r w:rsidRPr="006928DC">
        <w:rPr>
          <w:rFonts w:asciiTheme="majorBidi" w:hAnsiTheme="majorBidi" w:cstheme="majorBidi"/>
        </w:rPr>
        <w:t xml:space="preserve"> Médias24, « Délais de paiement. Ce que prévoit la loi… » (3 janvier 2025). </w:t>
      </w:r>
      <w:hyperlink r:id="rId11" w:history="1">
        <w:r w:rsidRPr="006928DC">
          <w:rPr>
            <w:rStyle w:val="Lienhypertexte"/>
            <w:rFonts w:asciiTheme="majorBidi" w:hAnsiTheme="majorBidi" w:cstheme="majorBidi"/>
          </w:rPr>
          <w:t>https://medias24.com/2025/01/03/delais-de-paiement-ce-que-prevoit-la-loi-et-comment-les-pme-peuvent-se-proteger/</w:t>
        </w:r>
      </w:hyperlink>
    </w:p>
    <w:p w14:paraId="4E37C96F" w14:textId="77777777" w:rsidR="00DE0887" w:rsidRPr="006928DC" w:rsidRDefault="00DE0887" w:rsidP="00DE0887">
      <w:pPr>
        <w:numPr>
          <w:ilvl w:val="0"/>
          <w:numId w:val="4"/>
        </w:numPr>
        <w:spacing w:after="160" w:line="278" w:lineRule="auto"/>
        <w:rPr>
          <w:rFonts w:asciiTheme="majorBidi" w:hAnsiTheme="majorBidi" w:cstheme="majorBidi"/>
        </w:rPr>
      </w:pPr>
      <w:r w:rsidRPr="006928DC">
        <w:rPr>
          <w:rFonts w:asciiTheme="majorBidi" w:hAnsiTheme="majorBidi" w:cstheme="majorBidi"/>
          <w:b/>
          <w:bCs/>
        </w:rPr>
        <w:t>Seuils de 60/120/180 jours, marchés publics à 60 jours :</w:t>
      </w:r>
      <w:r w:rsidRPr="006928DC">
        <w:rPr>
          <w:rFonts w:asciiTheme="majorBidi" w:hAnsiTheme="majorBidi" w:cstheme="majorBidi"/>
        </w:rPr>
        <w:t xml:space="preserve"> Upsilon Consulting. </w:t>
      </w:r>
      <w:hyperlink r:id="rId12" w:history="1">
        <w:r w:rsidRPr="006928DC">
          <w:rPr>
            <w:rStyle w:val="Lienhypertexte"/>
            <w:rFonts w:asciiTheme="majorBidi" w:hAnsiTheme="majorBidi" w:cstheme="majorBidi"/>
          </w:rPr>
          <w:t>https://www.upsilon-consulting.com/delais-de-paiement-au-maroc/</w:t>
        </w:r>
      </w:hyperlink>
    </w:p>
    <w:p w14:paraId="4D37795F" w14:textId="77777777" w:rsidR="00DE0887" w:rsidRPr="006928DC" w:rsidRDefault="00DE0887" w:rsidP="00DE0887">
      <w:pPr>
        <w:numPr>
          <w:ilvl w:val="0"/>
          <w:numId w:val="4"/>
        </w:numPr>
        <w:spacing w:after="160" w:line="278" w:lineRule="auto"/>
        <w:rPr>
          <w:rFonts w:asciiTheme="majorBidi" w:hAnsiTheme="majorBidi" w:cstheme="majorBidi"/>
        </w:rPr>
      </w:pPr>
      <w:r w:rsidRPr="006928DC">
        <w:rPr>
          <w:rFonts w:asciiTheme="majorBidi" w:hAnsiTheme="majorBidi" w:cstheme="majorBidi"/>
          <w:b/>
          <w:bCs/>
        </w:rPr>
        <w:t>Publication au BO du 15 juin 2023, remplacement de la loi 32-10 :</w:t>
      </w:r>
      <w:r w:rsidRPr="006928DC">
        <w:rPr>
          <w:rFonts w:asciiTheme="majorBidi" w:hAnsiTheme="majorBidi" w:cstheme="majorBidi"/>
        </w:rPr>
        <w:t xml:space="preserve"> </w:t>
      </w:r>
      <w:proofErr w:type="spellStart"/>
      <w:r w:rsidRPr="006928DC">
        <w:rPr>
          <w:rFonts w:asciiTheme="majorBidi" w:hAnsiTheme="majorBidi" w:cstheme="majorBidi"/>
        </w:rPr>
        <w:t>Quantis</w:t>
      </w:r>
      <w:proofErr w:type="spellEnd"/>
      <w:r w:rsidRPr="006928DC">
        <w:rPr>
          <w:rFonts w:asciiTheme="majorBidi" w:hAnsiTheme="majorBidi" w:cstheme="majorBidi"/>
        </w:rPr>
        <w:t xml:space="preserve"> </w:t>
      </w:r>
      <w:proofErr w:type="spellStart"/>
      <w:r w:rsidRPr="006928DC">
        <w:rPr>
          <w:rFonts w:asciiTheme="majorBidi" w:hAnsiTheme="majorBidi" w:cstheme="majorBidi"/>
        </w:rPr>
        <w:t>Partners</w:t>
      </w:r>
      <w:proofErr w:type="spellEnd"/>
      <w:r w:rsidRPr="006928DC">
        <w:rPr>
          <w:rFonts w:asciiTheme="majorBidi" w:hAnsiTheme="majorBidi" w:cstheme="majorBidi"/>
        </w:rPr>
        <w:t xml:space="preserve">. </w:t>
      </w:r>
      <w:hyperlink r:id="rId13" w:history="1">
        <w:r w:rsidRPr="006928DC">
          <w:rPr>
            <w:rStyle w:val="Lienhypertexte"/>
            <w:rFonts w:asciiTheme="majorBidi" w:hAnsiTheme="majorBidi" w:cstheme="majorBidi"/>
          </w:rPr>
          <w:t>https://bsauditconseil.com/delais_de_paiement_maroc/</w:t>
        </w:r>
      </w:hyperlink>
    </w:p>
    <w:p w14:paraId="64380761" w14:textId="77777777" w:rsidR="00DE0887" w:rsidRPr="006928DC" w:rsidRDefault="00DE0887" w:rsidP="00DE0887">
      <w:pPr>
        <w:numPr>
          <w:ilvl w:val="0"/>
          <w:numId w:val="4"/>
        </w:numPr>
        <w:spacing w:after="160" w:line="278" w:lineRule="auto"/>
        <w:rPr>
          <w:rFonts w:asciiTheme="majorBidi" w:hAnsiTheme="majorBidi" w:cstheme="majorBidi"/>
        </w:rPr>
      </w:pPr>
      <w:r w:rsidRPr="006928DC">
        <w:rPr>
          <w:rFonts w:asciiTheme="majorBidi" w:hAnsiTheme="majorBidi" w:cstheme="majorBidi"/>
          <w:b/>
          <w:bCs/>
        </w:rPr>
        <w:lastRenderedPageBreak/>
        <w:t>Application progressive, factures à partir du 1er janvier 2025, entreprises entre 2 et 10 MDH de chiffre d'affaires :</w:t>
      </w:r>
      <w:r w:rsidRPr="006928DC">
        <w:rPr>
          <w:rFonts w:asciiTheme="majorBidi" w:hAnsiTheme="majorBidi" w:cstheme="majorBidi"/>
        </w:rPr>
        <w:t xml:space="preserve"> </w:t>
      </w:r>
      <w:proofErr w:type="spellStart"/>
      <w:r w:rsidRPr="006928DC">
        <w:rPr>
          <w:rFonts w:asciiTheme="majorBidi" w:hAnsiTheme="majorBidi" w:cstheme="majorBidi"/>
        </w:rPr>
        <w:t>GestiSuite</w:t>
      </w:r>
      <w:proofErr w:type="spellEnd"/>
      <w:r w:rsidRPr="006928DC">
        <w:rPr>
          <w:rFonts w:asciiTheme="majorBidi" w:hAnsiTheme="majorBidi" w:cstheme="majorBidi"/>
        </w:rPr>
        <w:t xml:space="preserve">. </w:t>
      </w:r>
      <w:hyperlink r:id="rId14" w:history="1">
        <w:r w:rsidRPr="006928DC">
          <w:rPr>
            <w:rStyle w:val="Lienhypertexte"/>
            <w:rFonts w:asciiTheme="majorBidi" w:hAnsiTheme="majorBidi" w:cstheme="majorBidi"/>
          </w:rPr>
          <w:t>https://www.gestisuite.com/blog/loi-delais-paiement-maroc-69-21</w:t>
        </w:r>
      </w:hyperlink>
    </w:p>
    <w:p w14:paraId="547FF438" w14:textId="77777777" w:rsidR="00DE0887" w:rsidRPr="006928DC" w:rsidRDefault="00DE0887" w:rsidP="00DE0887">
      <w:pPr>
        <w:numPr>
          <w:ilvl w:val="0"/>
          <w:numId w:val="4"/>
        </w:numPr>
        <w:spacing w:after="160" w:line="278" w:lineRule="auto"/>
        <w:rPr>
          <w:rFonts w:asciiTheme="majorBidi" w:hAnsiTheme="majorBidi" w:cstheme="majorBidi"/>
        </w:rPr>
      </w:pPr>
      <w:r w:rsidRPr="006928DC">
        <w:rPr>
          <w:rFonts w:asciiTheme="majorBidi" w:hAnsiTheme="majorBidi" w:cstheme="majorBidi"/>
          <w:b/>
          <w:bCs/>
        </w:rPr>
        <w:t>Le mécanisme du gros donneur d'ordre qui paie à 120-150 jours :</w:t>
      </w:r>
      <w:r w:rsidRPr="006928DC">
        <w:rPr>
          <w:rFonts w:asciiTheme="majorBidi" w:hAnsiTheme="majorBidi" w:cstheme="majorBidi"/>
        </w:rPr>
        <w:t xml:space="preserve"> Panthera Numbers. </w:t>
      </w:r>
      <w:hyperlink r:id="rId15" w:history="1">
        <w:r w:rsidRPr="006928DC">
          <w:rPr>
            <w:rStyle w:val="Lienhypertexte"/>
            <w:rFonts w:asciiTheme="majorBidi" w:hAnsiTheme="majorBidi" w:cstheme="majorBidi"/>
          </w:rPr>
          <w:t>https://www.pantheranumbers.ma/blog/loi-69-21-delais-paiement-maroc-obligations</w:t>
        </w:r>
      </w:hyperlink>
    </w:p>
    <w:p w14:paraId="4BC8FC55" w14:textId="77777777" w:rsidR="00DE0887" w:rsidRPr="006928DC" w:rsidRDefault="00DE0887" w:rsidP="00DE0887">
      <w:pPr>
        <w:numPr>
          <w:ilvl w:val="0"/>
          <w:numId w:val="4"/>
        </w:numPr>
        <w:spacing w:after="160" w:line="278" w:lineRule="auto"/>
        <w:rPr>
          <w:rFonts w:asciiTheme="majorBidi" w:hAnsiTheme="majorBidi" w:cstheme="majorBidi"/>
        </w:rPr>
      </w:pPr>
      <w:r w:rsidRPr="006928DC">
        <w:rPr>
          <w:rFonts w:asciiTheme="majorBidi" w:hAnsiTheme="majorBidi" w:cstheme="majorBidi"/>
          <w:b/>
          <w:bCs/>
        </w:rPr>
        <w:t>PME à plus de 90 % du tissu économique :</w:t>
      </w:r>
      <w:r w:rsidRPr="006928DC">
        <w:rPr>
          <w:rFonts w:asciiTheme="majorBidi" w:hAnsiTheme="majorBidi" w:cstheme="majorBidi"/>
        </w:rPr>
        <w:t xml:space="preserve"> Thales Informatique. </w:t>
      </w:r>
      <w:hyperlink r:id="rId16" w:history="1">
        <w:r w:rsidRPr="006928DC">
          <w:rPr>
            <w:rStyle w:val="Lienhypertexte"/>
            <w:rFonts w:asciiTheme="majorBidi" w:hAnsiTheme="majorBidi" w:cstheme="majorBidi"/>
          </w:rPr>
          <w:t>https://thales.ma/delais-de-paiement-au-maroc-a-quoi-faut-il-sattendre-en-2025/</w:t>
        </w:r>
      </w:hyperlink>
    </w:p>
    <w:p w14:paraId="7885299C" w14:textId="77777777" w:rsidR="00DE0887" w:rsidRPr="006928DC" w:rsidRDefault="00DE0887" w:rsidP="00DE0887">
      <w:pPr>
        <w:spacing w:after="160" w:line="278" w:lineRule="auto"/>
        <w:rPr>
          <w:rFonts w:asciiTheme="majorBidi" w:hAnsiTheme="majorBidi" w:cstheme="majorBidi"/>
          <w:b/>
          <w:bCs/>
        </w:rPr>
      </w:pPr>
      <w:r w:rsidRPr="006928DC">
        <w:rPr>
          <w:rFonts w:asciiTheme="majorBidi" w:hAnsiTheme="majorBidi" w:cstheme="majorBidi"/>
          <w:b/>
          <w:bCs/>
        </w:rPr>
        <w:t>Gouvernance, financement et recherche académique</w:t>
      </w:r>
    </w:p>
    <w:p w14:paraId="279A329F" w14:textId="77777777" w:rsidR="00DE0887" w:rsidRPr="006928DC" w:rsidRDefault="00DE0887" w:rsidP="00DE0887">
      <w:pPr>
        <w:numPr>
          <w:ilvl w:val="0"/>
          <w:numId w:val="5"/>
        </w:numPr>
        <w:spacing w:after="160" w:line="278" w:lineRule="auto"/>
        <w:rPr>
          <w:rFonts w:asciiTheme="majorBidi" w:hAnsiTheme="majorBidi" w:cstheme="majorBidi"/>
        </w:rPr>
      </w:pPr>
      <w:r w:rsidRPr="006928DC">
        <w:rPr>
          <w:rFonts w:asciiTheme="majorBidi" w:hAnsiTheme="majorBidi" w:cstheme="majorBidi"/>
        </w:rPr>
        <w:t>Ech-</w:t>
      </w:r>
      <w:proofErr w:type="spellStart"/>
      <w:r w:rsidRPr="006928DC">
        <w:rPr>
          <w:rFonts w:asciiTheme="majorBidi" w:hAnsiTheme="majorBidi" w:cstheme="majorBidi"/>
        </w:rPr>
        <w:t>Chafi</w:t>
      </w:r>
      <w:proofErr w:type="spellEnd"/>
      <w:r w:rsidRPr="006928DC">
        <w:rPr>
          <w:rFonts w:asciiTheme="majorBidi" w:hAnsiTheme="majorBidi" w:cstheme="majorBidi"/>
        </w:rPr>
        <w:t xml:space="preserve"> &amp; Ait Ali, « Causes et conséquences de la défaillance des entreprises marocaines : un état de l'art », </w:t>
      </w:r>
      <w:proofErr w:type="spellStart"/>
      <w:r w:rsidRPr="006928DC">
        <w:rPr>
          <w:rFonts w:asciiTheme="majorBidi" w:hAnsiTheme="majorBidi" w:cstheme="majorBidi"/>
          <w:i/>
          <w:iCs/>
        </w:rPr>
        <w:t>African</w:t>
      </w:r>
      <w:proofErr w:type="spellEnd"/>
      <w:r w:rsidRPr="006928DC">
        <w:rPr>
          <w:rFonts w:asciiTheme="majorBidi" w:hAnsiTheme="majorBidi" w:cstheme="majorBidi"/>
          <w:i/>
          <w:iCs/>
        </w:rPr>
        <w:t xml:space="preserve"> Scientific Journal</w:t>
      </w:r>
      <w:r w:rsidRPr="006928DC">
        <w:rPr>
          <w:rFonts w:asciiTheme="majorBidi" w:hAnsiTheme="majorBidi" w:cstheme="majorBidi"/>
        </w:rPr>
        <w:t xml:space="preserve">. </w:t>
      </w:r>
      <w:hyperlink r:id="rId17" w:history="1">
        <w:r w:rsidRPr="006928DC">
          <w:rPr>
            <w:rStyle w:val="Lienhypertexte"/>
            <w:rFonts w:asciiTheme="majorBidi" w:hAnsiTheme="majorBidi" w:cstheme="majorBidi"/>
          </w:rPr>
          <w:t>https://africanscientificjournal.com/index.php/AfricanScientificJournal/article/view/954</w:t>
        </w:r>
      </w:hyperlink>
    </w:p>
    <w:p w14:paraId="6194B56F" w14:textId="77777777" w:rsidR="00DE0887" w:rsidRPr="006928DC" w:rsidRDefault="00DE0887" w:rsidP="00DE0887">
      <w:pPr>
        <w:numPr>
          <w:ilvl w:val="0"/>
          <w:numId w:val="5"/>
        </w:numPr>
        <w:spacing w:after="160" w:line="278" w:lineRule="auto"/>
        <w:rPr>
          <w:rFonts w:asciiTheme="majorBidi" w:hAnsiTheme="majorBidi" w:cstheme="majorBidi"/>
        </w:rPr>
      </w:pPr>
      <w:r w:rsidRPr="006928DC">
        <w:rPr>
          <w:rFonts w:asciiTheme="majorBidi" w:hAnsiTheme="majorBidi" w:cstheme="majorBidi"/>
        </w:rPr>
        <w:t xml:space="preserve">« Défaillance des PME au Maroc : une analyse… », </w:t>
      </w:r>
      <w:r w:rsidRPr="006928DC">
        <w:rPr>
          <w:rFonts w:asciiTheme="majorBidi" w:hAnsiTheme="majorBidi" w:cstheme="majorBidi"/>
          <w:i/>
          <w:iCs/>
        </w:rPr>
        <w:t>Revue Internationale de la Recherche Scientifique</w:t>
      </w:r>
      <w:r w:rsidRPr="006928DC">
        <w:rPr>
          <w:rFonts w:asciiTheme="majorBidi" w:hAnsiTheme="majorBidi" w:cstheme="majorBidi"/>
        </w:rPr>
        <w:t xml:space="preserve">. </w:t>
      </w:r>
      <w:hyperlink r:id="rId18" w:history="1">
        <w:r w:rsidRPr="006928DC">
          <w:rPr>
            <w:rStyle w:val="Lienhypertexte"/>
            <w:rFonts w:asciiTheme="majorBidi" w:hAnsiTheme="majorBidi" w:cstheme="majorBidi"/>
          </w:rPr>
          <w:t>https://revue-irs.com/index.php/home/article/download/755/502</w:t>
        </w:r>
      </w:hyperlink>
    </w:p>
    <w:p w14:paraId="21013B98" w14:textId="77777777" w:rsidR="00DE0887" w:rsidRPr="006928DC" w:rsidRDefault="00DE0887" w:rsidP="00DE0887">
      <w:pPr>
        <w:spacing w:after="160" w:line="278" w:lineRule="auto"/>
        <w:rPr>
          <w:rFonts w:asciiTheme="majorBidi" w:hAnsiTheme="majorBidi" w:cstheme="majorBidi"/>
          <w:b/>
          <w:bCs/>
        </w:rPr>
      </w:pPr>
      <w:r w:rsidRPr="006928DC">
        <w:rPr>
          <w:rFonts w:asciiTheme="majorBidi" w:hAnsiTheme="majorBidi" w:cstheme="majorBidi"/>
          <w:b/>
          <w:bCs/>
        </w:rPr>
        <w:t>Accompagnement des PME</w:t>
      </w:r>
    </w:p>
    <w:p w14:paraId="4757E8A5" w14:textId="77777777" w:rsidR="00DE0887" w:rsidRPr="006928DC" w:rsidRDefault="00DE0887" w:rsidP="00DE0887">
      <w:pPr>
        <w:numPr>
          <w:ilvl w:val="0"/>
          <w:numId w:val="6"/>
        </w:numPr>
        <w:spacing w:after="160" w:line="278" w:lineRule="auto"/>
        <w:rPr>
          <w:rFonts w:asciiTheme="majorBidi" w:hAnsiTheme="majorBidi" w:cstheme="majorBidi"/>
        </w:rPr>
      </w:pPr>
      <w:r w:rsidRPr="006928DC">
        <w:rPr>
          <w:rFonts w:asciiTheme="majorBidi" w:hAnsiTheme="majorBidi" w:cstheme="majorBidi"/>
        </w:rPr>
        <w:t xml:space="preserve">Maroc PME (partenariat avec la Bourse de Casablanca, mai 2026) : Wikipédia. </w:t>
      </w:r>
      <w:hyperlink r:id="rId19" w:history="1">
        <w:r w:rsidRPr="006928DC">
          <w:rPr>
            <w:rStyle w:val="Lienhypertexte"/>
            <w:rFonts w:asciiTheme="majorBidi" w:hAnsiTheme="majorBidi" w:cstheme="majorBidi"/>
          </w:rPr>
          <w:t>https://en.wikipedia.org/wiki/Maroc_PME</w:t>
        </w:r>
      </w:hyperlink>
    </w:p>
    <w:p w14:paraId="05720AA6" w14:textId="77777777" w:rsidR="00DE0887" w:rsidRDefault="00DE0887">
      <w:pPr>
        <w:spacing w:after="100" w:line="264" w:lineRule="auto"/>
        <w:jc w:val="both"/>
      </w:pPr>
    </w:p>
    <w:sectPr w:rsidR="00DE0887">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B17DB"/>
    <w:multiLevelType w:val="multilevel"/>
    <w:tmpl w:val="D56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714C3"/>
    <w:multiLevelType w:val="hybridMultilevel"/>
    <w:tmpl w:val="60728772"/>
    <w:lvl w:ilvl="0" w:tplc="C55C09EC">
      <w:start w:val="1"/>
      <w:numFmt w:val="bullet"/>
      <w:lvlText w:val="•"/>
      <w:lvlJc w:val="left"/>
      <w:pPr>
        <w:ind w:left="540" w:hanging="270"/>
      </w:pPr>
    </w:lvl>
    <w:lvl w:ilvl="1" w:tplc="F28EF13C">
      <w:numFmt w:val="decimal"/>
      <w:lvlText w:val=""/>
      <w:lvlJc w:val="left"/>
    </w:lvl>
    <w:lvl w:ilvl="2" w:tplc="1A6E488A">
      <w:numFmt w:val="decimal"/>
      <w:lvlText w:val=""/>
      <w:lvlJc w:val="left"/>
    </w:lvl>
    <w:lvl w:ilvl="3" w:tplc="6366AE26">
      <w:numFmt w:val="decimal"/>
      <w:lvlText w:val=""/>
      <w:lvlJc w:val="left"/>
    </w:lvl>
    <w:lvl w:ilvl="4" w:tplc="5B2AB8BC">
      <w:numFmt w:val="decimal"/>
      <w:lvlText w:val=""/>
      <w:lvlJc w:val="left"/>
    </w:lvl>
    <w:lvl w:ilvl="5" w:tplc="9E2681B2">
      <w:numFmt w:val="decimal"/>
      <w:lvlText w:val=""/>
      <w:lvlJc w:val="left"/>
    </w:lvl>
    <w:lvl w:ilvl="6" w:tplc="FE408CE2">
      <w:numFmt w:val="decimal"/>
      <w:lvlText w:val=""/>
      <w:lvlJc w:val="left"/>
    </w:lvl>
    <w:lvl w:ilvl="7" w:tplc="3C68E9A2">
      <w:numFmt w:val="decimal"/>
      <w:lvlText w:val=""/>
      <w:lvlJc w:val="left"/>
    </w:lvl>
    <w:lvl w:ilvl="8" w:tplc="A1B88336">
      <w:numFmt w:val="decimal"/>
      <w:lvlText w:val=""/>
      <w:lvlJc w:val="left"/>
    </w:lvl>
  </w:abstractNum>
  <w:abstractNum w:abstractNumId="2" w15:restartNumberingAfterBreak="0">
    <w:nsid w:val="25C23443"/>
    <w:multiLevelType w:val="multilevel"/>
    <w:tmpl w:val="778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340F6"/>
    <w:multiLevelType w:val="hybridMultilevel"/>
    <w:tmpl w:val="DB6A0E28"/>
    <w:lvl w:ilvl="0" w:tplc="997C9D7A">
      <w:start w:val="1"/>
      <w:numFmt w:val="bullet"/>
      <w:lvlText w:val="●"/>
      <w:lvlJc w:val="left"/>
      <w:pPr>
        <w:ind w:left="720" w:hanging="360"/>
      </w:pPr>
    </w:lvl>
    <w:lvl w:ilvl="1" w:tplc="E8442192">
      <w:start w:val="1"/>
      <w:numFmt w:val="bullet"/>
      <w:lvlText w:val="○"/>
      <w:lvlJc w:val="left"/>
      <w:pPr>
        <w:ind w:left="1440" w:hanging="360"/>
      </w:pPr>
    </w:lvl>
    <w:lvl w:ilvl="2" w:tplc="54D28B80">
      <w:start w:val="1"/>
      <w:numFmt w:val="bullet"/>
      <w:lvlText w:val="■"/>
      <w:lvlJc w:val="left"/>
      <w:pPr>
        <w:ind w:left="2160" w:hanging="360"/>
      </w:pPr>
    </w:lvl>
    <w:lvl w:ilvl="3" w:tplc="3774C506">
      <w:start w:val="1"/>
      <w:numFmt w:val="bullet"/>
      <w:lvlText w:val="●"/>
      <w:lvlJc w:val="left"/>
      <w:pPr>
        <w:ind w:left="2880" w:hanging="360"/>
      </w:pPr>
    </w:lvl>
    <w:lvl w:ilvl="4" w:tplc="045E0BF0">
      <w:start w:val="1"/>
      <w:numFmt w:val="bullet"/>
      <w:lvlText w:val="○"/>
      <w:lvlJc w:val="left"/>
      <w:pPr>
        <w:ind w:left="3600" w:hanging="360"/>
      </w:pPr>
    </w:lvl>
    <w:lvl w:ilvl="5" w:tplc="65168126">
      <w:start w:val="1"/>
      <w:numFmt w:val="bullet"/>
      <w:lvlText w:val="■"/>
      <w:lvlJc w:val="left"/>
      <w:pPr>
        <w:ind w:left="4320" w:hanging="360"/>
      </w:pPr>
    </w:lvl>
    <w:lvl w:ilvl="6" w:tplc="21CCD7FA">
      <w:start w:val="1"/>
      <w:numFmt w:val="bullet"/>
      <w:lvlText w:val="●"/>
      <w:lvlJc w:val="left"/>
      <w:pPr>
        <w:ind w:left="5040" w:hanging="360"/>
      </w:pPr>
    </w:lvl>
    <w:lvl w:ilvl="7" w:tplc="219A775A">
      <w:start w:val="1"/>
      <w:numFmt w:val="bullet"/>
      <w:lvlText w:val="●"/>
      <w:lvlJc w:val="left"/>
      <w:pPr>
        <w:ind w:left="5760" w:hanging="360"/>
      </w:pPr>
    </w:lvl>
    <w:lvl w:ilvl="8" w:tplc="2D2EB5A0">
      <w:start w:val="1"/>
      <w:numFmt w:val="bullet"/>
      <w:lvlText w:val="●"/>
      <w:lvlJc w:val="left"/>
      <w:pPr>
        <w:ind w:left="6480" w:hanging="360"/>
      </w:pPr>
    </w:lvl>
  </w:abstractNum>
  <w:abstractNum w:abstractNumId="4" w15:restartNumberingAfterBreak="0">
    <w:nsid w:val="3D6B7438"/>
    <w:multiLevelType w:val="multilevel"/>
    <w:tmpl w:val="B0D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2A7B93"/>
    <w:multiLevelType w:val="multilevel"/>
    <w:tmpl w:val="039A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531924">
    <w:abstractNumId w:val="3"/>
    <w:lvlOverride w:ilvl="0">
      <w:startOverride w:val="1"/>
    </w:lvlOverride>
  </w:num>
  <w:num w:numId="2" w16cid:durableId="1041780009">
    <w:abstractNumId w:val="1"/>
    <w:lvlOverride w:ilvl="0">
      <w:startOverride w:val="1"/>
    </w:lvlOverride>
  </w:num>
  <w:num w:numId="3" w16cid:durableId="1364404420">
    <w:abstractNumId w:val="5"/>
  </w:num>
  <w:num w:numId="4" w16cid:durableId="1832065373">
    <w:abstractNumId w:val="2"/>
  </w:num>
  <w:num w:numId="5" w16cid:durableId="122427937">
    <w:abstractNumId w:val="4"/>
  </w:num>
  <w:num w:numId="6" w16cid:durableId="70452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899"/>
    <w:rsid w:val="005B7899"/>
    <w:rsid w:val="00CA2D3C"/>
    <w:rsid w:val="00DE0887"/>
    <w:rsid w:val="00FB681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97B1"/>
  <w15:docId w15:val="{587F3583-5867-4542-9C87-D303B3E5C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fr.le360.ma/economie/entreprises-une-hecatombe-record_6C26ER2A4NHF3OVTQIR5EOZ6ME/" TargetMode="External"/><Relationship Id="rId13" Type="http://schemas.openxmlformats.org/officeDocument/2006/relationships/hyperlink" Target="https://bsauditconseil.com/delais_de_paiement_maroc/" TargetMode="External"/><Relationship Id="rId18" Type="http://schemas.openxmlformats.org/officeDocument/2006/relationships/hyperlink" Target="https://revue-irs.com/index.php/home/article/download/755/50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nforisk.ma/blog/2026/02/05/defaillances-dentreprises-au-maroc-pourquoi-le-risque-se-concentre-sur-les-300-000-societes-zombies/" TargetMode="External"/><Relationship Id="rId12" Type="http://schemas.openxmlformats.org/officeDocument/2006/relationships/hyperlink" Target="https://www.upsilon-consulting.com/delais-de-paiement-au-maroc/" TargetMode="External"/><Relationship Id="rId17" Type="http://schemas.openxmlformats.org/officeDocument/2006/relationships/hyperlink" Target="https://africanscientificjournal.com/index.php/AfricanScientificJournal/article/view/954" TargetMode="External"/><Relationship Id="rId2" Type="http://schemas.openxmlformats.org/officeDocument/2006/relationships/styles" Target="styles.xml"/><Relationship Id="rId16" Type="http://schemas.openxmlformats.org/officeDocument/2006/relationships/hyperlink" Target="https://thales.ma/delais-de-paiement-au-maroc-a-quoi-faut-il-sattendre-en-202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nh.ma/article/actualite-economique/defaillances-entreprises-baisse-faillites" TargetMode="External"/><Relationship Id="rId11" Type="http://schemas.openxmlformats.org/officeDocument/2006/relationships/hyperlink" Target="https://medias24.com/2025/01/03/delais-de-paiement-ce-que-prevoit-la-loi-et-comment-les-pme-peuvent-se-proteger/" TargetMode="External"/><Relationship Id="rId5" Type="http://schemas.openxmlformats.org/officeDocument/2006/relationships/image" Target="media/image1.png"/><Relationship Id="rId15" Type="http://schemas.openxmlformats.org/officeDocument/2006/relationships/hyperlink" Target="https://www.pantheranumbers.ma/blog/loi-69-21-delais-paiement-maroc-obligations" TargetMode="External"/><Relationship Id="rId10" Type="http://schemas.openxmlformats.org/officeDocument/2006/relationships/hyperlink" Target="https://fnh.ma/article/entreprises/risque-d-impayes-la-recette-inforisk-pour-les-pme" TargetMode="External"/><Relationship Id="rId19" Type="http://schemas.openxmlformats.org/officeDocument/2006/relationships/hyperlink" Target="https://en.wikipedia.org/wiki/Maroc_PME" TargetMode="External"/><Relationship Id="rId4" Type="http://schemas.openxmlformats.org/officeDocument/2006/relationships/webSettings" Target="webSettings.xml"/><Relationship Id="rId9" Type="http://schemas.openxmlformats.org/officeDocument/2006/relationships/hyperlink" Target="https://inforisk.ma/" TargetMode="External"/><Relationship Id="rId14" Type="http://schemas.openxmlformats.org/officeDocument/2006/relationships/hyperlink" Target="https://www.gestisuite.com/blog/loi-delais-paiement-maroc-69-2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1248</Words>
  <Characters>6868</Characters>
  <Application>Microsoft Office Word</Application>
  <DocSecurity>0</DocSecurity>
  <Lines>57</Lines>
  <Paragraphs>16</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Soufiane EL AZILE</cp:lastModifiedBy>
  <cp:revision>2</cp:revision>
  <dcterms:created xsi:type="dcterms:W3CDTF">2026-09-29T13:09:00Z</dcterms:created>
  <dcterms:modified xsi:type="dcterms:W3CDTF">2026-09-29T13:09:00Z</dcterms:modified>
</cp:coreProperties>
</file>