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DED4" w14:textId="22A8DE82" w:rsidR="00C13371" w:rsidRDefault="00C13371" w:rsidP="00C13371">
      <w:pPr>
        <w:pStyle w:val="Title"/>
      </w:pPr>
      <w:r>
        <w:t xml:space="preserve">Defense prep </w:t>
      </w:r>
    </w:p>
    <w:p w14:paraId="72435BD0" w14:textId="4EFF6975" w:rsidR="00C13371" w:rsidRPr="00C13371" w:rsidRDefault="00C13371" w:rsidP="00C13371">
      <w:pPr>
        <w:pStyle w:val="Subtitle"/>
        <w:jc w:val="center"/>
        <w:rPr>
          <w:i/>
          <w:iCs/>
        </w:rPr>
      </w:pPr>
      <w:r w:rsidRPr="00C13371">
        <w:rPr>
          <w:i/>
          <w:iCs/>
        </w:rPr>
        <w:t>“</w:t>
      </w:r>
      <w:r>
        <w:rPr>
          <w:i/>
          <w:iCs/>
        </w:rPr>
        <w:t>t</w:t>
      </w:r>
      <w:r w:rsidRPr="00C13371">
        <w:rPr>
          <w:i/>
          <w:iCs/>
        </w:rPr>
        <w:t>he best defense is a good offense”</w:t>
      </w:r>
    </w:p>
    <w:sdt>
      <w:sdtPr>
        <w:id w:val="714631630"/>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75284803" w14:textId="2CD94048" w:rsidR="00C13371" w:rsidRDefault="00C13371">
          <w:pPr>
            <w:pStyle w:val="TOCHeading"/>
          </w:pPr>
          <w:r>
            <w:t>Table of Contents</w:t>
          </w:r>
        </w:p>
        <w:p w14:paraId="567CE066" w14:textId="3ECEE139" w:rsidR="00C13371" w:rsidRDefault="00C1337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47925768" w:history="1">
            <w:r w:rsidRPr="00D55609">
              <w:rPr>
                <w:rStyle w:val="Hyperlink"/>
                <w:noProof/>
              </w:rPr>
              <w:t>Life-course hypotheses</w:t>
            </w:r>
            <w:r>
              <w:rPr>
                <w:noProof/>
                <w:webHidden/>
              </w:rPr>
              <w:tab/>
            </w:r>
            <w:r>
              <w:rPr>
                <w:noProof/>
                <w:webHidden/>
              </w:rPr>
              <w:fldChar w:fldCharType="begin"/>
            </w:r>
            <w:r>
              <w:rPr>
                <w:noProof/>
                <w:webHidden/>
              </w:rPr>
              <w:instrText xml:space="preserve"> PAGEREF _Toc147925768 \h </w:instrText>
            </w:r>
            <w:r>
              <w:rPr>
                <w:noProof/>
                <w:webHidden/>
              </w:rPr>
            </w:r>
            <w:r>
              <w:rPr>
                <w:noProof/>
                <w:webHidden/>
              </w:rPr>
              <w:fldChar w:fldCharType="separate"/>
            </w:r>
            <w:r>
              <w:rPr>
                <w:noProof/>
                <w:webHidden/>
              </w:rPr>
              <w:t>1</w:t>
            </w:r>
            <w:r>
              <w:rPr>
                <w:noProof/>
                <w:webHidden/>
              </w:rPr>
              <w:fldChar w:fldCharType="end"/>
            </w:r>
          </w:hyperlink>
        </w:p>
        <w:p w14:paraId="0FB9884B" w14:textId="1F7537A8" w:rsidR="00C13371" w:rsidRDefault="00C13371">
          <w:pPr>
            <w:pStyle w:val="TOC2"/>
            <w:tabs>
              <w:tab w:val="right" w:leader="dot" w:pos="9350"/>
            </w:tabs>
            <w:rPr>
              <w:noProof/>
            </w:rPr>
          </w:pPr>
          <w:hyperlink w:anchor="_Toc147925769" w:history="1">
            <w:r w:rsidRPr="00D55609">
              <w:rPr>
                <w:rStyle w:val="Hyperlink"/>
                <w:noProof/>
              </w:rPr>
              <w:t>Net reclassification index</w:t>
            </w:r>
            <w:r>
              <w:rPr>
                <w:noProof/>
                <w:webHidden/>
              </w:rPr>
              <w:tab/>
            </w:r>
            <w:r>
              <w:rPr>
                <w:noProof/>
                <w:webHidden/>
              </w:rPr>
              <w:fldChar w:fldCharType="begin"/>
            </w:r>
            <w:r>
              <w:rPr>
                <w:noProof/>
                <w:webHidden/>
              </w:rPr>
              <w:instrText xml:space="preserve"> PAGEREF _Toc147925769 \h </w:instrText>
            </w:r>
            <w:r>
              <w:rPr>
                <w:noProof/>
                <w:webHidden/>
              </w:rPr>
            </w:r>
            <w:r>
              <w:rPr>
                <w:noProof/>
                <w:webHidden/>
              </w:rPr>
              <w:fldChar w:fldCharType="separate"/>
            </w:r>
            <w:r>
              <w:rPr>
                <w:noProof/>
                <w:webHidden/>
              </w:rPr>
              <w:t>1</w:t>
            </w:r>
            <w:r>
              <w:rPr>
                <w:noProof/>
                <w:webHidden/>
              </w:rPr>
              <w:fldChar w:fldCharType="end"/>
            </w:r>
          </w:hyperlink>
        </w:p>
        <w:p w14:paraId="255F8484" w14:textId="157D5479" w:rsidR="00C13371" w:rsidRDefault="00C13371">
          <w:r>
            <w:rPr>
              <w:b/>
              <w:bCs/>
              <w:noProof/>
            </w:rPr>
            <w:fldChar w:fldCharType="end"/>
          </w:r>
        </w:p>
      </w:sdtContent>
    </w:sdt>
    <w:p w14:paraId="3BE60E64" w14:textId="09E2346F" w:rsidR="00C13371" w:rsidRDefault="00C13371" w:rsidP="00C13371">
      <w:pPr>
        <w:pStyle w:val="Heading1"/>
      </w:pPr>
      <w:bookmarkStart w:id="0" w:name="_Toc147925768"/>
      <w:r>
        <w:t>Life-course hypotheses</w:t>
      </w:r>
      <w:bookmarkEnd w:id="0"/>
    </w:p>
    <w:p w14:paraId="06ED6C40" w14:textId="15D23272" w:rsidR="00000000" w:rsidRDefault="00C13371" w:rsidP="00C13371">
      <w:pPr>
        <w:pStyle w:val="Heading2"/>
      </w:pPr>
      <w:bookmarkStart w:id="1" w:name="_Toc147925769"/>
      <w:r>
        <w:t>Net reclassification index</w:t>
      </w:r>
      <w:bookmarkEnd w:id="1"/>
    </w:p>
    <w:p w14:paraId="13C89632" w14:textId="08EFEA17" w:rsidR="00D130B1" w:rsidRPr="00D130B1" w:rsidRDefault="00D130B1" w:rsidP="00D130B1">
      <w:r>
        <w:t xml:space="preserve">A few different approaches were explored in the development of this study, building off of </w:t>
      </w:r>
      <w:r w:rsidRPr="00D130B1">
        <w:rPr>
          <w:b/>
          <w:bCs/>
        </w:rPr>
        <w:t>Mishra et al. (2009)</w:t>
      </w:r>
      <w:r>
        <w:t xml:space="preserve"> </w:t>
      </w:r>
      <w:r w:rsidRPr="00D130B1">
        <w:rPr>
          <w:vertAlign w:val="superscript"/>
        </w:rPr>
        <w:t>(</w:t>
      </w:r>
      <w:r w:rsidRPr="00D130B1">
        <w:rPr>
          <w:vertAlign w:val="superscript"/>
        </w:rPr>
        <w:t xml:space="preserve">Mishra, G., Nitsch, D., Black, S., </w:t>
      </w:r>
      <w:proofErr w:type="spellStart"/>
      <w:r w:rsidRPr="00D130B1">
        <w:rPr>
          <w:vertAlign w:val="superscript"/>
        </w:rPr>
        <w:t>DeStavola</w:t>
      </w:r>
      <w:proofErr w:type="spellEnd"/>
      <w:r w:rsidRPr="00D130B1">
        <w:rPr>
          <w:vertAlign w:val="superscript"/>
        </w:rPr>
        <w:t xml:space="preserve">, B., </w:t>
      </w:r>
      <w:proofErr w:type="spellStart"/>
      <w:r w:rsidRPr="00D130B1">
        <w:rPr>
          <w:vertAlign w:val="superscript"/>
        </w:rPr>
        <w:t>Kuh</w:t>
      </w:r>
      <w:proofErr w:type="spellEnd"/>
      <w:r w:rsidRPr="00D130B1">
        <w:rPr>
          <w:vertAlign w:val="superscript"/>
        </w:rPr>
        <w:t>, D., &amp; Hardy, R. (2009</w:t>
      </w:r>
      <w:r w:rsidRPr="00D130B1">
        <w:rPr>
          <w:b/>
          <w:bCs/>
          <w:vertAlign w:val="superscript"/>
        </w:rPr>
        <w:t>). A structured approach to modelling the effects of binary exposure variables over the life course</w:t>
      </w:r>
      <w:r w:rsidRPr="00D130B1">
        <w:rPr>
          <w:vertAlign w:val="superscript"/>
        </w:rPr>
        <w:t xml:space="preserve">. </w:t>
      </w:r>
      <w:r w:rsidRPr="00D130B1">
        <w:rPr>
          <w:i/>
          <w:iCs/>
          <w:vertAlign w:val="superscript"/>
        </w:rPr>
        <w:t>International Journal of Epidemiolog</w:t>
      </w:r>
      <w:r>
        <w:rPr>
          <w:i/>
          <w:iCs/>
          <w:vertAlign w:val="superscript"/>
        </w:rPr>
        <w:t>y</w:t>
      </w:r>
      <w:r w:rsidRPr="00D130B1">
        <w:rPr>
          <w:vertAlign w:val="superscript"/>
        </w:rPr>
        <w:t>)</w:t>
      </w:r>
      <w:r>
        <w:rPr>
          <w:vertAlign w:val="superscript"/>
        </w:rPr>
        <w:t xml:space="preserve"> </w:t>
      </w:r>
      <w:r>
        <w:t xml:space="preserve">, so using likelihood ratio test approach for nested models and comparing to the saturated as well as the demographics only models. </w:t>
      </w:r>
    </w:p>
    <w:p w14:paraId="791E55EB" w14:textId="1136CA9E" w:rsidR="00D130B1" w:rsidRPr="00D130B1" w:rsidRDefault="00D130B1" w:rsidP="00D130B1"/>
    <w:p w14:paraId="20B5E2A9" w14:textId="77777777" w:rsidR="00D130B1" w:rsidRDefault="00D130B1" w:rsidP="00D130B1">
      <w:pPr>
        <w:pStyle w:val="ListParagraph"/>
        <w:numPr>
          <w:ilvl w:val="0"/>
          <w:numId w:val="7"/>
        </w:numPr>
      </w:pPr>
      <w:hyperlink r:id="rId6" w:history="1">
        <w:r w:rsidRPr="00D130B1">
          <w:rPr>
            <w:rStyle w:val="Hyperlink"/>
          </w:rPr>
          <w:t>Net Reclassification Index Statistics Do Not Help Assess New Risk Models</w:t>
        </w:r>
      </w:hyperlink>
      <w:r>
        <w:t xml:space="preserve"> (Kerr, 2022, Radiology)</w:t>
      </w:r>
    </w:p>
    <w:p w14:paraId="28823297" w14:textId="77777777" w:rsidR="00D130B1" w:rsidRDefault="00D130B1" w:rsidP="00D130B1">
      <w:pPr>
        <w:pStyle w:val="ListParagraph"/>
        <w:numPr>
          <w:ilvl w:val="1"/>
          <w:numId w:val="7"/>
        </w:numPr>
        <w:rPr>
          <w:i/>
          <w:iCs/>
        </w:rPr>
      </w:pPr>
      <w:r w:rsidRPr="00D130B1">
        <w:rPr>
          <w:i/>
          <w:iCs/>
        </w:rPr>
        <w:t>Overall NRI statistics lack any clear interpretation, and incorrect interpretations appear in the literature (e</w:t>
      </w:r>
      <w:r w:rsidRPr="00D130B1">
        <w:rPr>
          <w:i/>
          <w:iCs/>
        </w:rPr>
        <w:t>.</w:t>
      </w:r>
      <w:r w:rsidRPr="00D130B1">
        <w:rPr>
          <w:i/>
          <w:iCs/>
        </w:rPr>
        <w:t>g</w:t>
      </w:r>
      <w:r w:rsidRPr="00D130B1">
        <w:rPr>
          <w:i/>
          <w:iCs/>
        </w:rPr>
        <w:t>.</w:t>
      </w:r>
      <w:r w:rsidRPr="00D130B1">
        <w:rPr>
          <w:i/>
          <w:iCs/>
        </w:rPr>
        <w:t>, NRI does not measure the proportion of patients correctly reclassified); if you see a simple interpretation of an NRI statistic, there is a good chance it is wrong.</w:t>
      </w:r>
    </w:p>
    <w:p w14:paraId="4ADEF670" w14:textId="5A9BDD35" w:rsidR="00D130B1" w:rsidRPr="00D130B1" w:rsidRDefault="00D130B1" w:rsidP="00D130B1">
      <w:pPr>
        <w:pStyle w:val="ListParagraph"/>
        <w:numPr>
          <w:ilvl w:val="1"/>
          <w:numId w:val="7"/>
        </w:numPr>
        <w:rPr>
          <w:i/>
          <w:iCs/>
        </w:rPr>
      </w:pPr>
      <w:r w:rsidRPr="00D130B1">
        <w:rPr>
          <w:i/>
          <w:iCs/>
          <w:lang w:eastAsia="en-GB"/>
        </w:rPr>
        <w:t>Although the AUC is criticized, fairly, because it does not quantify the clinical or public health benefit of a risk model, NRI statistics are a step in the wrong direction and should not be used.</w:t>
      </w:r>
    </w:p>
    <w:p w14:paraId="36384A39" w14:textId="77777777" w:rsidR="00D130B1" w:rsidRPr="00D130B1" w:rsidRDefault="00D130B1" w:rsidP="00D130B1">
      <w:pPr>
        <w:rPr>
          <w:i/>
          <w:iCs/>
        </w:rPr>
      </w:pPr>
    </w:p>
    <w:p w14:paraId="2D5F7AB6" w14:textId="48341B60" w:rsidR="00C13371" w:rsidRDefault="00C13371" w:rsidP="00C13371">
      <w:pPr>
        <w:pStyle w:val="Heading1"/>
      </w:pPr>
      <w:r>
        <w:t>Mediation</w:t>
      </w:r>
    </w:p>
    <w:p w14:paraId="22610E44" w14:textId="77777777" w:rsidR="00C13371" w:rsidRDefault="00C13371" w:rsidP="00C13371"/>
    <w:p w14:paraId="68752CF0" w14:textId="6903BE62" w:rsidR="00C13371" w:rsidRDefault="00C13371" w:rsidP="00C13371">
      <w:pPr>
        <w:rPr>
          <w:i/>
          <w:iCs/>
        </w:rPr>
      </w:pPr>
      <w:r>
        <w:rPr>
          <w:sz w:val="22"/>
          <w:szCs w:val="22"/>
        </w:rPr>
        <w:t xml:space="preserve">Report 2: </w:t>
      </w:r>
      <w:r w:rsidRPr="00C13371">
        <w:rPr>
          <w:i/>
          <w:iCs/>
        </w:rPr>
        <w:t>Page 57: The candidate noted that the total effect was equal to the summation of direct and indirect effects. However, the estimates come from different models. Was any constraint in the estimation of coefficients to force this equality?</w:t>
      </w:r>
    </w:p>
    <w:p w14:paraId="1ED915F9" w14:textId="62C2F2B8" w:rsidR="00C13371" w:rsidRDefault="00C13371" w:rsidP="00C13371">
      <w:pPr>
        <w:pStyle w:val="ListParagraph"/>
        <w:numPr>
          <w:ilvl w:val="0"/>
          <w:numId w:val="3"/>
        </w:numPr>
      </w:pPr>
      <w:r>
        <w:t>Not quite correct</w:t>
      </w:r>
      <w:r w:rsidR="00D130B1">
        <w:t xml:space="preserve"> that these come from different models: </w:t>
      </w:r>
      <w:r>
        <w:t>While there are two models fit for each cohort, (long &amp; cross), the calculations are based within only one model</w:t>
      </w:r>
    </w:p>
    <w:p w14:paraId="12E9F9BB" w14:textId="7ECBCB5F" w:rsidR="00D130B1" w:rsidRDefault="00D130B1" w:rsidP="00C13371">
      <w:pPr>
        <w:pStyle w:val="ListParagraph"/>
        <w:numPr>
          <w:ilvl w:val="0"/>
          <w:numId w:val="3"/>
        </w:numPr>
      </w:pPr>
      <w:r>
        <w:t xml:space="preserve">Cross-world mediation assumption: </w:t>
      </w:r>
      <w:hyperlink r:id="rId7" w:history="1">
        <w:r w:rsidRPr="00D130B1">
          <w:rPr>
            <w:rStyle w:val="Hyperlink"/>
          </w:rPr>
          <w:t>Insights into the cross-world independence assumption of causal mediation analysis</w:t>
        </w:r>
      </w:hyperlink>
      <w:r>
        <w:t xml:space="preserve"> (Andres &amp; </w:t>
      </w:r>
      <w:proofErr w:type="spellStart"/>
      <w:r>
        <w:t>Didelez</w:t>
      </w:r>
      <w:proofErr w:type="spellEnd"/>
      <w:r>
        <w:t>)</w:t>
      </w:r>
    </w:p>
    <w:p w14:paraId="7878AAA7" w14:textId="77777777" w:rsidR="00545218" w:rsidRDefault="00545218" w:rsidP="00545218"/>
    <w:p w14:paraId="7051F8A7" w14:textId="77777777" w:rsidR="00545218" w:rsidRDefault="00545218" w:rsidP="00545218">
      <w:pPr>
        <w:pStyle w:val="Heading1"/>
        <w:rPr>
          <w:sz w:val="22"/>
          <w:szCs w:val="22"/>
        </w:rPr>
      </w:pPr>
      <w:r>
        <w:lastRenderedPageBreak/>
        <w:t>Religion</w:t>
      </w:r>
      <w:r w:rsidRPr="00545218">
        <w:rPr>
          <w:sz w:val="22"/>
          <w:szCs w:val="22"/>
        </w:rPr>
        <w:t xml:space="preserve"> </w:t>
      </w:r>
    </w:p>
    <w:p w14:paraId="6304B91C" w14:textId="6E2DDBB1" w:rsidR="00545218" w:rsidRPr="00C13371" w:rsidRDefault="00545218" w:rsidP="00545218">
      <w:pPr>
        <w:pStyle w:val="Heading1"/>
      </w:pPr>
      <w:r>
        <w:rPr>
          <w:sz w:val="22"/>
          <w:szCs w:val="22"/>
        </w:rPr>
        <w:t>How do we consider the results of the study on religion in the context of targets that are modifiable and may impact inequalities in morality?</w:t>
      </w:r>
    </w:p>
    <w:p w14:paraId="5D604A33" w14:textId="6DEDEEFE" w:rsidR="00690B58" w:rsidRPr="00690B58" w:rsidRDefault="00690B58" w:rsidP="00690B58">
      <w:r w:rsidRPr="00690B58">
        <w:t>Not something to intervene on, but may be an important thing to prepare for. As with many metrics</w:t>
      </w:r>
      <w:r>
        <w:t xml:space="preserve"> for populations as they become more</w:t>
      </w:r>
      <w:r w:rsidRPr="00690B58">
        <w:t xml:space="preserve">, it is plausible that for </w:t>
      </w:r>
      <w:r>
        <w:t xml:space="preserve">Pacific </w:t>
      </w:r>
      <w:proofErr w:type="spellStart"/>
      <w:r>
        <w:t>NZers</w:t>
      </w:r>
      <w:proofErr w:type="spellEnd"/>
      <w:r>
        <w:t xml:space="preserve"> to converge with the </w:t>
      </w:r>
    </w:p>
    <w:p w14:paraId="520B762B" w14:textId="77777777" w:rsidR="00690B58" w:rsidRPr="00690B58" w:rsidRDefault="00690B58" w:rsidP="00690B58"/>
    <w:p w14:paraId="1CC14230" w14:textId="46D815DD" w:rsidR="00690B58" w:rsidRPr="00690B58" w:rsidRDefault="00690B58" w:rsidP="00690B58">
      <w:r w:rsidRPr="00690B58">
        <w:t>13%</w:t>
      </w:r>
      <w:r>
        <w:t xml:space="preserve"> </w:t>
      </w:r>
      <w:r w:rsidRPr="00690B58">
        <w:t>of Pacific People (general census population, all ages) in 2006 reported having no religion while 23% reported the same in the 2018 Census.</w:t>
      </w:r>
    </w:p>
    <w:p w14:paraId="3D14FADD" w14:textId="77777777" w:rsidR="00690B58" w:rsidRPr="00690B58" w:rsidRDefault="00690B58" w:rsidP="00690B58"/>
    <w:p w14:paraId="2F8530C4" w14:textId="6E5EC59F" w:rsidR="00D130B1" w:rsidRPr="00690B58" w:rsidRDefault="00690B58" w:rsidP="00690B58">
      <w:r w:rsidRPr="00690B58">
        <w:rPr>
          <w:b/>
          <w:bCs/>
        </w:rPr>
        <w:t>Source</w:t>
      </w:r>
      <w:r>
        <w:t xml:space="preserve">: </w:t>
      </w:r>
      <w:r w:rsidRPr="00690B58">
        <w:t>Ethnic group (detailed total response - level 3) and religious affiliation (total responses) by sex, for the census usually resident population count, 2006, 2013, and 2018 Censuses (RC, TA, SA2, DHB). Retrieved from nzdotstat.stats.govt.nz.</w:t>
      </w:r>
    </w:p>
    <w:p w14:paraId="6B3F372E" w14:textId="5D2B3CE2" w:rsidR="00D130B1" w:rsidRDefault="00D130B1" w:rsidP="00C13371">
      <w:pPr>
        <w:pStyle w:val="Heading1"/>
      </w:pPr>
      <w:r>
        <w:t>Methodology</w:t>
      </w:r>
    </w:p>
    <w:p w14:paraId="449697ED" w14:textId="1DCA0692" w:rsidR="00D130B1" w:rsidRDefault="00545218" w:rsidP="00545218">
      <w:pPr>
        <w:pStyle w:val="ListParagraph"/>
        <w:numPr>
          <w:ilvl w:val="0"/>
          <w:numId w:val="9"/>
        </w:numPr>
      </w:pPr>
      <w:r>
        <w:t>Interaction terms</w:t>
      </w:r>
    </w:p>
    <w:p w14:paraId="1C397930" w14:textId="77777777" w:rsidR="00545218" w:rsidRPr="00D130B1" w:rsidRDefault="00545218" w:rsidP="00545218">
      <w:pPr>
        <w:pStyle w:val="ListParagraph"/>
        <w:numPr>
          <w:ilvl w:val="0"/>
          <w:numId w:val="9"/>
        </w:numPr>
      </w:pPr>
    </w:p>
    <w:p w14:paraId="1E19BA4C" w14:textId="4D86D780" w:rsidR="00545218" w:rsidRDefault="00545218" w:rsidP="00545218">
      <w:pPr>
        <w:pStyle w:val="Heading1"/>
      </w:pPr>
      <w:r>
        <w:t>Gita’s questions</w:t>
      </w:r>
    </w:p>
    <w:p w14:paraId="6E660FA7" w14:textId="6F8D5FAA" w:rsidR="00545218" w:rsidRPr="00545218" w:rsidRDefault="00545218" w:rsidP="00545218">
      <w:pPr>
        <w:pStyle w:val="Heading2"/>
        <w:rPr>
          <w:i/>
          <w:iCs/>
        </w:rPr>
      </w:pPr>
      <w:r w:rsidRPr="00545218">
        <w:rPr>
          <w:i/>
          <w:iCs/>
        </w:rPr>
        <w:t>Do we stop investing in longitudinal studies?</w:t>
      </w:r>
    </w:p>
    <w:p w14:paraId="5C735B13" w14:textId="77777777" w:rsidR="00545218" w:rsidRDefault="00545218" w:rsidP="00545218">
      <w:r>
        <w:t xml:space="preserve">No! While there is not a strong case for needing repeated measures of official statistics based SEP across adulthood to predict mortality, my thesis did not consider childhood SEP nor other outcomes.  </w:t>
      </w:r>
    </w:p>
    <w:p w14:paraId="5079C6D6" w14:textId="77777777" w:rsidR="00545218" w:rsidRDefault="00545218" w:rsidP="00545218"/>
    <w:p w14:paraId="6ACDDEE6" w14:textId="77777777" w:rsidR="00545218" w:rsidRDefault="00545218" w:rsidP="00545218">
      <w:r>
        <w:t>Future directions: I hope this helps simplify some analyses for researchers to enable these other interesting and important pathways to be pursued.</w:t>
      </w:r>
    </w:p>
    <w:p w14:paraId="76ED119E" w14:textId="77777777" w:rsidR="00545218" w:rsidRDefault="00545218" w:rsidP="00545218"/>
    <w:p w14:paraId="7A2B01D9" w14:textId="5F834713" w:rsidR="00545218" w:rsidRPr="00545218" w:rsidRDefault="00545218" w:rsidP="00545218">
      <w:pPr>
        <w:pStyle w:val="Heading2"/>
        <w:rPr>
          <w:i/>
          <w:iCs/>
        </w:rPr>
      </w:pPr>
      <w:r w:rsidRPr="00545218">
        <w:rPr>
          <w:i/>
          <w:iCs/>
        </w:rPr>
        <w:t>How does this body of work help inform what governments should invest in to reduce inequalities in mortality?</w:t>
      </w:r>
    </w:p>
    <w:p w14:paraId="5C6ACB89" w14:textId="77777777" w:rsidR="00545218" w:rsidRDefault="00545218" w:rsidP="00545218">
      <w:r>
        <w:t>Where I am absolutely fine with not being the first to find that poverty is associated with mortality, I am glad to be part of the chorus of voices</w:t>
      </w:r>
    </w:p>
    <w:p w14:paraId="1D568696" w14:textId="77777777" w:rsidR="00545218" w:rsidRPr="00545218" w:rsidRDefault="00545218" w:rsidP="00545218"/>
    <w:p w14:paraId="5ABCA814" w14:textId="17AB5DFD" w:rsidR="00C13371" w:rsidRDefault="00D130B1" w:rsidP="00C13371">
      <w:pPr>
        <w:pStyle w:val="Heading1"/>
      </w:pPr>
      <w:r>
        <w:t>Literature / o</w:t>
      </w:r>
      <w:r w:rsidR="00C13371">
        <w:t>ther</w:t>
      </w:r>
    </w:p>
    <w:p w14:paraId="6A277344" w14:textId="77777777" w:rsidR="00C13371" w:rsidRDefault="00C13371" w:rsidP="00C13371">
      <w:pPr>
        <w:pStyle w:val="Heading2"/>
      </w:pPr>
      <w:r>
        <w:t>Mishra’s studies</w:t>
      </w:r>
    </w:p>
    <w:p w14:paraId="067DDAB0" w14:textId="38A8F50D" w:rsidR="00C13371" w:rsidRDefault="00C13371" w:rsidP="007E5E83">
      <w:pPr>
        <w:pStyle w:val="ListParagraph"/>
        <w:numPr>
          <w:ilvl w:val="0"/>
          <w:numId w:val="5"/>
        </w:numPr>
      </w:pPr>
      <w:r>
        <w:t>Swedish birth cohort (Uppsala)</w:t>
      </w:r>
      <w:r w:rsidR="007E5E83">
        <w:t xml:space="preserve"> (cited)</w:t>
      </w:r>
    </w:p>
    <w:p w14:paraId="233D628D" w14:textId="20B7C675" w:rsidR="007E5E83" w:rsidRDefault="007E5E83" w:rsidP="007E5E83">
      <w:pPr>
        <w:pStyle w:val="ListParagraph"/>
        <w:numPr>
          <w:ilvl w:val="0"/>
          <w:numId w:val="5"/>
        </w:numPr>
      </w:pPr>
      <w:r>
        <w:t>Recent work:</w:t>
      </w:r>
    </w:p>
    <w:p w14:paraId="44559491" w14:textId="0194EED6" w:rsidR="00C13371" w:rsidRDefault="007E5E83" w:rsidP="00C13371">
      <w:pPr>
        <w:pStyle w:val="ListParagraph"/>
        <w:numPr>
          <w:ilvl w:val="1"/>
          <w:numId w:val="5"/>
        </w:numPr>
      </w:pPr>
      <w:hyperlink r:id="rId8" w:history="1">
        <w:r w:rsidRPr="007E5E83">
          <w:rPr>
            <w:rStyle w:val="Hyperlink"/>
          </w:rPr>
          <w:t>Residential greenspace and anxiety symptoms among Australian women living in major cities: A longitudinal analysis</w:t>
        </w:r>
      </w:hyperlink>
    </w:p>
    <w:p w14:paraId="2554654E" w14:textId="1AAADF4D" w:rsidR="007E5E83" w:rsidRDefault="007E5E83" w:rsidP="007E5E83">
      <w:pPr>
        <w:pStyle w:val="ListParagraph"/>
        <w:numPr>
          <w:ilvl w:val="2"/>
          <w:numId w:val="5"/>
        </w:numPr>
      </w:pPr>
      <w:r w:rsidRPr="007E5E83">
        <w:t>Goldberg Anxiety and Depression Scale</w:t>
      </w:r>
      <w:r>
        <w:t xml:space="preserve"> &amp; information on where they are living at the time of the survey</w:t>
      </w:r>
    </w:p>
    <w:p w14:paraId="0419A9B4" w14:textId="7A7AA2B5" w:rsidR="007E5E83" w:rsidRDefault="007E5E83" w:rsidP="007E5E83">
      <w:pPr>
        <w:pStyle w:val="ListParagraph"/>
        <w:numPr>
          <w:ilvl w:val="1"/>
          <w:numId w:val="5"/>
        </w:numPr>
      </w:pPr>
      <w:hyperlink r:id="rId9" w:history="1">
        <w:r w:rsidRPr="007E5E83">
          <w:rPr>
            <w:rStyle w:val="Hyperlink"/>
          </w:rPr>
          <w:t>Symptom patterns and health service use of women in early adulthood: a latent class analysis from the Australian Longitudinal Study on Women’s Health</w:t>
        </w:r>
      </w:hyperlink>
    </w:p>
    <w:p w14:paraId="637FBB07" w14:textId="6AB36F4E" w:rsidR="007E5E83" w:rsidRDefault="007E5E83" w:rsidP="007E5E83">
      <w:pPr>
        <w:pStyle w:val="ListParagraph"/>
        <w:numPr>
          <w:ilvl w:val="2"/>
          <w:numId w:val="5"/>
        </w:numPr>
      </w:pPr>
      <w:r>
        <w:t>Survey data linked with admin data</w:t>
      </w:r>
    </w:p>
    <w:p w14:paraId="49E3EFC2" w14:textId="11034C5D" w:rsidR="007E5E83" w:rsidRDefault="00D130B1" w:rsidP="007E5E83">
      <w:pPr>
        <w:pStyle w:val="ListParagraph"/>
        <w:numPr>
          <w:ilvl w:val="1"/>
          <w:numId w:val="5"/>
        </w:numPr>
      </w:pPr>
      <w:hyperlink r:id="rId10" w:history="1">
        <w:r w:rsidR="007E5E83" w:rsidRPr="00D130B1">
          <w:rPr>
            <w:rStyle w:val="Hyperlink"/>
          </w:rPr>
          <w:t>Women’s midlife health: the unfinished research agenda</w:t>
        </w:r>
      </w:hyperlink>
    </w:p>
    <w:p w14:paraId="185B4BAF" w14:textId="16228A1E" w:rsidR="007E5E83" w:rsidRDefault="007E5E83" w:rsidP="007E5E83">
      <w:pPr>
        <w:pStyle w:val="ListParagraph"/>
        <w:numPr>
          <w:ilvl w:val="2"/>
          <w:numId w:val="5"/>
        </w:numPr>
      </w:pPr>
      <w:r>
        <w:t>Menopause/hormone-sensitive conditions</w:t>
      </w:r>
    </w:p>
    <w:p w14:paraId="5DEC1921" w14:textId="77777777" w:rsidR="007E5E83" w:rsidRPr="00C13371" w:rsidRDefault="007E5E83" w:rsidP="007E5E83"/>
    <w:sectPr w:rsidR="007E5E83" w:rsidRPr="00C13371" w:rsidSect="00CE4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5947"/>
    <w:multiLevelType w:val="hybridMultilevel"/>
    <w:tmpl w:val="6436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1556A"/>
    <w:multiLevelType w:val="hybridMultilevel"/>
    <w:tmpl w:val="09F67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47B12"/>
    <w:multiLevelType w:val="multilevel"/>
    <w:tmpl w:val="533C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A4FFA"/>
    <w:multiLevelType w:val="hybridMultilevel"/>
    <w:tmpl w:val="EBAA94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D7E0E"/>
    <w:multiLevelType w:val="hybridMultilevel"/>
    <w:tmpl w:val="521A3F78"/>
    <w:lvl w:ilvl="0" w:tplc="8ACA09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47306"/>
    <w:multiLevelType w:val="hybridMultilevel"/>
    <w:tmpl w:val="F57ACCF8"/>
    <w:lvl w:ilvl="0" w:tplc="8ACA09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DD5DF6"/>
    <w:multiLevelType w:val="hybridMultilevel"/>
    <w:tmpl w:val="F2765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7613"/>
    <w:multiLevelType w:val="hybridMultilevel"/>
    <w:tmpl w:val="07A81D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2040790"/>
    <w:multiLevelType w:val="hybridMultilevel"/>
    <w:tmpl w:val="EC2AC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974267">
    <w:abstractNumId w:val="6"/>
  </w:num>
  <w:num w:numId="2" w16cid:durableId="643973439">
    <w:abstractNumId w:val="5"/>
  </w:num>
  <w:num w:numId="3" w16cid:durableId="462818571">
    <w:abstractNumId w:val="0"/>
  </w:num>
  <w:num w:numId="4" w16cid:durableId="1126702796">
    <w:abstractNumId w:val="4"/>
  </w:num>
  <w:num w:numId="5" w16cid:durableId="1034816571">
    <w:abstractNumId w:val="8"/>
  </w:num>
  <w:num w:numId="6" w16cid:durableId="1588660456">
    <w:abstractNumId w:val="7"/>
  </w:num>
  <w:num w:numId="7" w16cid:durableId="933630077">
    <w:abstractNumId w:val="3"/>
  </w:num>
  <w:num w:numId="8" w16cid:durableId="1188719728">
    <w:abstractNumId w:val="2"/>
  </w:num>
  <w:num w:numId="9" w16cid:durableId="44323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71"/>
    <w:rsid w:val="00251CF9"/>
    <w:rsid w:val="00540740"/>
    <w:rsid w:val="00545218"/>
    <w:rsid w:val="00690B58"/>
    <w:rsid w:val="00784BB2"/>
    <w:rsid w:val="007E5E83"/>
    <w:rsid w:val="00B30ED9"/>
    <w:rsid w:val="00BB2C9F"/>
    <w:rsid w:val="00BB54E8"/>
    <w:rsid w:val="00C13371"/>
    <w:rsid w:val="00C5088D"/>
    <w:rsid w:val="00CB2FD1"/>
    <w:rsid w:val="00CE43DF"/>
    <w:rsid w:val="00CF14A5"/>
    <w:rsid w:val="00D13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60AAE3"/>
  <w15:chartTrackingRefBased/>
  <w15:docId w15:val="{34676D53-B4B5-D44B-B9E4-C7DEC9A3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3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3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2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3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13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337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13371"/>
    <w:pPr>
      <w:spacing w:before="120"/>
    </w:pPr>
    <w:rPr>
      <w:rFonts w:cstheme="minorHAnsi"/>
      <w:b/>
      <w:bCs/>
      <w:i/>
      <w:iCs/>
    </w:rPr>
  </w:style>
  <w:style w:type="paragraph" w:styleId="TOC2">
    <w:name w:val="toc 2"/>
    <w:basedOn w:val="Normal"/>
    <w:next w:val="Normal"/>
    <w:autoRedefine/>
    <w:uiPriority w:val="39"/>
    <w:unhideWhenUsed/>
    <w:rsid w:val="00C13371"/>
    <w:pPr>
      <w:spacing w:before="120"/>
      <w:ind w:left="240"/>
    </w:pPr>
    <w:rPr>
      <w:rFonts w:cstheme="minorHAnsi"/>
      <w:b/>
      <w:bCs/>
      <w:sz w:val="22"/>
      <w:szCs w:val="22"/>
    </w:rPr>
  </w:style>
  <w:style w:type="character" w:styleId="Hyperlink">
    <w:name w:val="Hyperlink"/>
    <w:basedOn w:val="DefaultParagraphFont"/>
    <w:uiPriority w:val="99"/>
    <w:unhideWhenUsed/>
    <w:rsid w:val="00C13371"/>
    <w:rPr>
      <w:color w:val="0563C1" w:themeColor="hyperlink"/>
      <w:u w:val="single"/>
    </w:rPr>
  </w:style>
  <w:style w:type="paragraph" w:styleId="TOC3">
    <w:name w:val="toc 3"/>
    <w:basedOn w:val="Normal"/>
    <w:next w:val="Normal"/>
    <w:autoRedefine/>
    <w:uiPriority w:val="39"/>
    <w:semiHidden/>
    <w:unhideWhenUsed/>
    <w:rsid w:val="00C13371"/>
    <w:pPr>
      <w:ind w:left="480"/>
    </w:pPr>
    <w:rPr>
      <w:rFonts w:cstheme="minorHAnsi"/>
      <w:sz w:val="20"/>
      <w:szCs w:val="20"/>
    </w:rPr>
  </w:style>
  <w:style w:type="paragraph" w:styleId="TOC4">
    <w:name w:val="toc 4"/>
    <w:basedOn w:val="Normal"/>
    <w:next w:val="Normal"/>
    <w:autoRedefine/>
    <w:uiPriority w:val="39"/>
    <w:semiHidden/>
    <w:unhideWhenUsed/>
    <w:rsid w:val="00C13371"/>
    <w:pPr>
      <w:ind w:left="720"/>
    </w:pPr>
    <w:rPr>
      <w:rFonts w:cstheme="minorHAnsi"/>
      <w:sz w:val="20"/>
      <w:szCs w:val="20"/>
    </w:rPr>
  </w:style>
  <w:style w:type="paragraph" w:styleId="TOC5">
    <w:name w:val="toc 5"/>
    <w:basedOn w:val="Normal"/>
    <w:next w:val="Normal"/>
    <w:autoRedefine/>
    <w:uiPriority w:val="39"/>
    <w:semiHidden/>
    <w:unhideWhenUsed/>
    <w:rsid w:val="00C13371"/>
    <w:pPr>
      <w:ind w:left="960"/>
    </w:pPr>
    <w:rPr>
      <w:rFonts w:cstheme="minorHAnsi"/>
      <w:sz w:val="20"/>
      <w:szCs w:val="20"/>
    </w:rPr>
  </w:style>
  <w:style w:type="paragraph" w:styleId="TOC6">
    <w:name w:val="toc 6"/>
    <w:basedOn w:val="Normal"/>
    <w:next w:val="Normal"/>
    <w:autoRedefine/>
    <w:uiPriority w:val="39"/>
    <w:semiHidden/>
    <w:unhideWhenUsed/>
    <w:rsid w:val="00C13371"/>
    <w:pPr>
      <w:ind w:left="1200"/>
    </w:pPr>
    <w:rPr>
      <w:rFonts w:cstheme="minorHAnsi"/>
      <w:sz w:val="20"/>
      <w:szCs w:val="20"/>
    </w:rPr>
  </w:style>
  <w:style w:type="paragraph" w:styleId="TOC7">
    <w:name w:val="toc 7"/>
    <w:basedOn w:val="Normal"/>
    <w:next w:val="Normal"/>
    <w:autoRedefine/>
    <w:uiPriority w:val="39"/>
    <w:semiHidden/>
    <w:unhideWhenUsed/>
    <w:rsid w:val="00C13371"/>
    <w:pPr>
      <w:ind w:left="1440"/>
    </w:pPr>
    <w:rPr>
      <w:rFonts w:cstheme="minorHAnsi"/>
      <w:sz w:val="20"/>
      <w:szCs w:val="20"/>
    </w:rPr>
  </w:style>
  <w:style w:type="paragraph" w:styleId="TOC8">
    <w:name w:val="toc 8"/>
    <w:basedOn w:val="Normal"/>
    <w:next w:val="Normal"/>
    <w:autoRedefine/>
    <w:uiPriority w:val="39"/>
    <w:semiHidden/>
    <w:unhideWhenUsed/>
    <w:rsid w:val="00C13371"/>
    <w:pPr>
      <w:ind w:left="1680"/>
    </w:pPr>
    <w:rPr>
      <w:rFonts w:cstheme="minorHAnsi"/>
      <w:sz w:val="20"/>
      <w:szCs w:val="20"/>
    </w:rPr>
  </w:style>
  <w:style w:type="paragraph" w:styleId="TOC9">
    <w:name w:val="toc 9"/>
    <w:basedOn w:val="Normal"/>
    <w:next w:val="Normal"/>
    <w:autoRedefine/>
    <w:uiPriority w:val="39"/>
    <w:semiHidden/>
    <w:unhideWhenUsed/>
    <w:rsid w:val="00C13371"/>
    <w:pPr>
      <w:ind w:left="1920"/>
    </w:pPr>
    <w:rPr>
      <w:rFonts w:cstheme="minorHAnsi"/>
      <w:sz w:val="20"/>
      <w:szCs w:val="20"/>
    </w:rPr>
  </w:style>
  <w:style w:type="paragraph" w:styleId="Title">
    <w:name w:val="Title"/>
    <w:basedOn w:val="Normal"/>
    <w:next w:val="Normal"/>
    <w:link w:val="TitleChar"/>
    <w:uiPriority w:val="10"/>
    <w:qFormat/>
    <w:rsid w:val="00C133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3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13371"/>
    <w:rPr>
      <w:rFonts w:eastAsiaTheme="minorEastAsia"/>
      <w:color w:val="5A5A5A" w:themeColor="text1" w:themeTint="A5"/>
      <w:spacing w:val="15"/>
      <w:sz w:val="22"/>
      <w:szCs w:val="22"/>
    </w:rPr>
  </w:style>
  <w:style w:type="paragraph" w:styleId="ListParagraph">
    <w:name w:val="List Paragraph"/>
    <w:basedOn w:val="Normal"/>
    <w:uiPriority w:val="34"/>
    <w:qFormat/>
    <w:rsid w:val="00C13371"/>
    <w:pPr>
      <w:ind w:left="720"/>
      <w:contextualSpacing/>
    </w:pPr>
  </w:style>
  <w:style w:type="character" w:styleId="UnresolvedMention">
    <w:name w:val="Unresolved Mention"/>
    <w:basedOn w:val="DefaultParagraphFont"/>
    <w:uiPriority w:val="99"/>
    <w:semiHidden/>
    <w:unhideWhenUsed/>
    <w:rsid w:val="007E5E83"/>
    <w:rPr>
      <w:color w:val="605E5C"/>
      <w:shd w:val="clear" w:color="auto" w:fill="E1DFDD"/>
    </w:rPr>
  </w:style>
  <w:style w:type="paragraph" w:customStyle="1" w:styleId="inline">
    <w:name w:val="inline"/>
    <w:basedOn w:val="Normal"/>
    <w:rsid w:val="00D130B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D130B1"/>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4521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3251">
      <w:bodyDiv w:val="1"/>
      <w:marLeft w:val="0"/>
      <w:marRight w:val="0"/>
      <w:marTop w:val="0"/>
      <w:marBottom w:val="0"/>
      <w:divBdr>
        <w:top w:val="none" w:sz="0" w:space="0" w:color="auto"/>
        <w:left w:val="none" w:sz="0" w:space="0" w:color="auto"/>
        <w:bottom w:val="none" w:sz="0" w:space="0" w:color="auto"/>
        <w:right w:val="none" w:sz="0" w:space="0" w:color="auto"/>
      </w:divBdr>
    </w:div>
    <w:div w:id="412169757">
      <w:bodyDiv w:val="1"/>
      <w:marLeft w:val="0"/>
      <w:marRight w:val="0"/>
      <w:marTop w:val="0"/>
      <w:marBottom w:val="0"/>
      <w:divBdr>
        <w:top w:val="none" w:sz="0" w:space="0" w:color="auto"/>
        <w:left w:val="none" w:sz="0" w:space="0" w:color="auto"/>
        <w:bottom w:val="none" w:sz="0" w:space="0" w:color="auto"/>
        <w:right w:val="none" w:sz="0" w:space="0" w:color="auto"/>
      </w:divBdr>
    </w:div>
    <w:div w:id="716464966">
      <w:bodyDiv w:val="1"/>
      <w:marLeft w:val="0"/>
      <w:marRight w:val="0"/>
      <w:marTop w:val="0"/>
      <w:marBottom w:val="0"/>
      <w:divBdr>
        <w:top w:val="none" w:sz="0" w:space="0" w:color="auto"/>
        <w:left w:val="none" w:sz="0" w:space="0" w:color="auto"/>
        <w:bottom w:val="none" w:sz="0" w:space="0" w:color="auto"/>
        <w:right w:val="none" w:sz="0" w:space="0" w:color="auto"/>
      </w:divBdr>
    </w:div>
    <w:div w:id="747190187">
      <w:bodyDiv w:val="1"/>
      <w:marLeft w:val="0"/>
      <w:marRight w:val="0"/>
      <w:marTop w:val="0"/>
      <w:marBottom w:val="0"/>
      <w:divBdr>
        <w:top w:val="none" w:sz="0" w:space="0" w:color="auto"/>
        <w:left w:val="none" w:sz="0" w:space="0" w:color="auto"/>
        <w:bottom w:val="none" w:sz="0" w:space="0" w:color="auto"/>
        <w:right w:val="none" w:sz="0" w:space="0" w:color="auto"/>
      </w:divBdr>
    </w:div>
    <w:div w:id="812022078">
      <w:bodyDiv w:val="1"/>
      <w:marLeft w:val="0"/>
      <w:marRight w:val="0"/>
      <w:marTop w:val="0"/>
      <w:marBottom w:val="0"/>
      <w:divBdr>
        <w:top w:val="none" w:sz="0" w:space="0" w:color="auto"/>
        <w:left w:val="none" w:sz="0" w:space="0" w:color="auto"/>
        <w:bottom w:val="none" w:sz="0" w:space="0" w:color="auto"/>
        <w:right w:val="none" w:sz="0" w:space="0" w:color="auto"/>
      </w:divBdr>
    </w:div>
    <w:div w:id="916092199">
      <w:bodyDiv w:val="1"/>
      <w:marLeft w:val="0"/>
      <w:marRight w:val="0"/>
      <w:marTop w:val="0"/>
      <w:marBottom w:val="0"/>
      <w:divBdr>
        <w:top w:val="none" w:sz="0" w:space="0" w:color="auto"/>
        <w:left w:val="none" w:sz="0" w:space="0" w:color="auto"/>
        <w:bottom w:val="none" w:sz="0" w:space="0" w:color="auto"/>
        <w:right w:val="none" w:sz="0" w:space="0" w:color="auto"/>
      </w:divBdr>
    </w:div>
    <w:div w:id="986318965">
      <w:bodyDiv w:val="1"/>
      <w:marLeft w:val="0"/>
      <w:marRight w:val="0"/>
      <w:marTop w:val="0"/>
      <w:marBottom w:val="0"/>
      <w:divBdr>
        <w:top w:val="none" w:sz="0" w:space="0" w:color="auto"/>
        <w:left w:val="none" w:sz="0" w:space="0" w:color="auto"/>
        <w:bottom w:val="none" w:sz="0" w:space="0" w:color="auto"/>
        <w:right w:val="none" w:sz="0" w:space="0" w:color="auto"/>
      </w:divBdr>
    </w:div>
    <w:div w:id="1019621410">
      <w:bodyDiv w:val="1"/>
      <w:marLeft w:val="0"/>
      <w:marRight w:val="0"/>
      <w:marTop w:val="0"/>
      <w:marBottom w:val="0"/>
      <w:divBdr>
        <w:top w:val="none" w:sz="0" w:space="0" w:color="auto"/>
        <w:left w:val="none" w:sz="0" w:space="0" w:color="auto"/>
        <w:bottom w:val="none" w:sz="0" w:space="0" w:color="auto"/>
        <w:right w:val="none" w:sz="0" w:space="0" w:color="auto"/>
      </w:divBdr>
    </w:div>
    <w:div w:id="1330139889">
      <w:bodyDiv w:val="1"/>
      <w:marLeft w:val="0"/>
      <w:marRight w:val="0"/>
      <w:marTop w:val="0"/>
      <w:marBottom w:val="0"/>
      <w:divBdr>
        <w:top w:val="none" w:sz="0" w:space="0" w:color="auto"/>
        <w:left w:val="none" w:sz="0" w:space="0" w:color="auto"/>
        <w:bottom w:val="none" w:sz="0" w:space="0" w:color="auto"/>
        <w:right w:val="none" w:sz="0" w:space="0" w:color="auto"/>
      </w:divBdr>
    </w:div>
    <w:div w:id="1352099156">
      <w:bodyDiv w:val="1"/>
      <w:marLeft w:val="0"/>
      <w:marRight w:val="0"/>
      <w:marTop w:val="0"/>
      <w:marBottom w:val="0"/>
      <w:divBdr>
        <w:top w:val="none" w:sz="0" w:space="0" w:color="auto"/>
        <w:left w:val="none" w:sz="0" w:space="0" w:color="auto"/>
        <w:bottom w:val="none" w:sz="0" w:space="0" w:color="auto"/>
        <w:right w:val="none" w:sz="0" w:space="0" w:color="auto"/>
      </w:divBdr>
    </w:div>
    <w:div w:id="1404138757">
      <w:bodyDiv w:val="1"/>
      <w:marLeft w:val="0"/>
      <w:marRight w:val="0"/>
      <w:marTop w:val="0"/>
      <w:marBottom w:val="0"/>
      <w:divBdr>
        <w:top w:val="none" w:sz="0" w:space="0" w:color="auto"/>
        <w:left w:val="none" w:sz="0" w:space="0" w:color="auto"/>
        <w:bottom w:val="none" w:sz="0" w:space="0" w:color="auto"/>
        <w:right w:val="none" w:sz="0" w:space="0" w:color="auto"/>
      </w:divBdr>
    </w:div>
    <w:div w:id="1966306094">
      <w:bodyDiv w:val="1"/>
      <w:marLeft w:val="0"/>
      <w:marRight w:val="0"/>
      <w:marTop w:val="0"/>
      <w:marBottom w:val="0"/>
      <w:divBdr>
        <w:top w:val="none" w:sz="0" w:space="0" w:color="auto"/>
        <w:left w:val="none" w:sz="0" w:space="0" w:color="auto"/>
        <w:bottom w:val="none" w:sz="0" w:space="0" w:color="auto"/>
        <w:right w:val="none" w:sz="0" w:space="0" w:color="auto"/>
      </w:divBdr>
    </w:div>
    <w:div w:id="20703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0412023003835" TargetMode="External"/><Relationship Id="rId3" Type="http://schemas.openxmlformats.org/officeDocument/2006/relationships/styles" Target="styles.xml"/><Relationship Id="rId7" Type="http://schemas.openxmlformats.org/officeDocument/2006/relationships/hyperlink" Target="https://pubmed.ncbi.nlm.nih.gov/3351284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s.rsna.org/doi/full/10.1148/radiol.22234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omensmidlifehealthjournal.biomedcentral.com/articles/10.1186/s40695-023-00090-5" TargetMode="External"/><Relationship Id="rId4" Type="http://schemas.openxmlformats.org/officeDocument/2006/relationships/settings" Target="settings.xml"/><Relationship Id="rId9" Type="http://schemas.openxmlformats.org/officeDocument/2006/relationships/hyperlink" Target="https://bmcpublichealth.biomedcentral.com/articles/10.1186/s12889-023-150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73A5E-8BAF-AF45-ADAF-38085E21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Bolton</dc:creator>
  <cp:keywords/>
  <dc:description/>
  <cp:lastModifiedBy>Liza Bolton</cp:lastModifiedBy>
  <cp:revision>1</cp:revision>
  <dcterms:created xsi:type="dcterms:W3CDTF">2023-10-11T01:08:00Z</dcterms:created>
  <dcterms:modified xsi:type="dcterms:W3CDTF">2023-10-11T08:02:00Z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http://csl.mendeley.com/styles/234744131/elsevier-harvard</vt:lpwstr>
  </property>
  <property fmtid="{D5CDD505-2E9C-101B-9397-08002B2CF9AE}" pid="15" name="Mendeley Recent Style Name 6_1">
    <vt:lpwstr>Elsevier - Harvard (with titles) - Elizabeth Bolton, PhD Candidate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http://www.zotero.org/styles/social-science-and-medicine</vt:lpwstr>
  </property>
  <property fmtid="{D5CDD505-2E9C-101B-9397-08002B2CF9AE}" pid="21" name="Mendeley Recent Style Name 9_1">
    <vt:lpwstr>Social Science &amp; Medicine</vt:lpwstr>
  </property>
</Properties>
</file>