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05AA" w14:textId="77777777" w:rsidR="00824526" w:rsidRPr="00824526" w:rsidRDefault="00824526" w:rsidP="00824526">
      <w:pPr>
        <w:jc w:val="center"/>
      </w:pPr>
      <w:r w:rsidRPr="00824526">
        <w:rPr>
          <w:b/>
          <w:bCs/>
          <w:sz w:val="36"/>
          <w:szCs w:val="36"/>
        </w:rPr>
        <w:t>TRANSFORMATION DIGITALE D'UN MINISTÈRE</w:t>
      </w:r>
    </w:p>
    <w:p w14:paraId="62DA0C8B" w14:textId="77777777" w:rsidR="00824526" w:rsidRPr="00824526" w:rsidRDefault="00824526" w:rsidP="00824526">
      <w:pPr>
        <w:jc w:val="center"/>
      </w:pPr>
      <w:r w:rsidRPr="00824526">
        <w:rPr>
          <w:sz w:val="26"/>
          <w:szCs w:val="26"/>
        </w:rPr>
        <w:t xml:space="preserve">Approche Quick </w:t>
      </w:r>
      <w:proofErr w:type="spellStart"/>
      <w:r w:rsidRPr="00824526">
        <w:rPr>
          <w:sz w:val="26"/>
          <w:szCs w:val="26"/>
        </w:rPr>
        <w:t>Wins</w:t>
      </w:r>
      <w:proofErr w:type="spellEnd"/>
      <w:r w:rsidRPr="00824526">
        <w:rPr>
          <w:sz w:val="26"/>
          <w:szCs w:val="26"/>
        </w:rPr>
        <w:t xml:space="preserve"> vs Projet Big Bang</w:t>
      </w:r>
    </w:p>
    <w:p w14:paraId="362E1E99" w14:textId="77777777" w:rsidR="00F32F41" w:rsidRDefault="00F32F41">
      <w:pPr>
        <w:spacing w:before="60" w:after="60"/>
      </w:pPr>
    </w:p>
    <w:p w14:paraId="2258984B" w14:textId="77777777" w:rsidR="00F32F41" w:rsidRDefault="00F32F41">
      <w:pPr>
        <w:spacing w:before="60" w:after="60"/>
      </w:pPr>
    </w:p>
    <w:p w14:paraId="5281412E" w14:textId="43AE6F7B" w:rsidR="00824526" w:rsidRDefault="00000000" w:rsidP="00824526">
      <w:pPr>
        <w:pStyle w:val="Titre1"/>
        <w:numPr>
          <w:ilvl w:val="0"/>
          <w:numId w:val="3"/>
        </w:numPr>
        <w:pBdr>
          <w:bottom w:val="single" w:sz="12" w:space="11" w:color="1E2761"/>
        </w:pBdr>
      </w:pPr>
      <w:r>
        <w:t>Analyse des risques du Projet Big Bang</w:t>
      </w:r>
    </w:p>
    <w:p w14:paraId="4B80CD81" w14:textId="1A83EF55" w:rsidR="00F32F41" w:rsidRDefault="00000000" w:rsidP="00824526">
      <w:pPr>
        <w:pStyle w:val="Titre1"/>
        <w:pBdr>
          <w:bottom w:val="single" w:sz="12" w:space="6" w:color="1E2761"/>
        </w:pBdr>
        <w:ind w:left="720"/>
      </w:pPr>
      <w:r>
        <w:rPr>
          <w:color w:val="2A2A2A"/>
          <w:sz w:val="22"/>
          <w:szCs w:val="22"/>
        </w:rPr>
        <w:t>Le projet Big Bang consiste à déployer simultanément l'ensemble des systèmes d'information en 12 mois. Cette approche présente 7 risques majeurs identifiés ci-dessous.</w:t>
      </w:r>
    </w:p>
    <w:p w14:paraId="2758A588" w14:textId="77777777" w:rsidR="00F32F41" w:rsidRDefault="00F32F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824526" w:rsidRPr="00824526" w14:paraId="5B763EF3" w14:textId="77777777" w:rsidTr="00824526">
        <w:tblPrEx>
          <w:tblCellMar>
            <w:top w:w="0" w:type="dxa"/>
            <w:bottom w:w="0" w:type="dxa"/>
          </w:tblCellMar>
        </w:tblPrEx>
        <w:trPr>
          <w:tblHeader/>
        </w:trPr>
        <w:tc>
          <w:tcPr>
            <w:tcW w:w="2800" w:type="dxa"/>
            <w:tcBorders>
              <w:top w:val="single" w:sz="6" w:space="0" w:color="1E2761"/>
              <w:left w:val="single" w:sz="6" w:space="0" w:color="1E2761"/>
              <w:bottom w:val="single" w:sz="6" w:space="0" w:color="1E2761"/>
              <w:right w:val="single" w:sz="6" w:space="0" w:color="1E2761"/>
            </w:tcBorders>
            <w:tcMar>
              <w:top w:w="100" w:type="dxa"/>
              <w:left w:w="140" w:type="dxa"/>
              <w:bottom w:w="100" w:type="dxa"/>
              <w:right w:w="140" w:type="dxa"/>
            </w:tcMar>
          </w:tcPr>
          <w:p w14:paraId="0ED319D1" w14:textId="77777777" w:rsidR="00F32F41" w:rsidRPr="00824526" w:rsidRDefault="00000000" w:rsidP="0075546F">
            <w:pPr>
              <w:jc w:val="center"/>
            </w:pPr>
            <w:r w:rsidRPr="00824526">
              <w:rPr>
                <w:b/>
                <w:bCs/>
                <w:sz w:val="20"/>
                <w:szCs w:val="20"/>
              </w:rPr>
              <w:t>Risque</w:t>
            </w:r>
          </w:p>
        </w:tc>
        <w:tc>
          <w:tcPr>
            <w:tcW w:w="1400" w:type="dxa"/>
            <w:tcBorders>
              <w:top w:val="single" w:sz="6" w:space="0" w:color="1E2761"/>
              <w:left w:val="single" w:sz="6" w:space="0" w:color="1E2761"/>
              <w:bottom w:val="single" w:sz="6" w:space="0" w:color="1E2761"/>
              <w:right w:val="single" w:sz="6" w:space="0" w:color="1E2761"/>
            </w:tcBorders>
            <w:tcMar>
              <w:top w:w="100" w:type="dxa"/>
              <w:left w:w="140" w:type="dxa"/>
              <w:bottom w:w="100" w:type="dxa"/>
              <w:right w:w="140" w:type="dxa"/>
            </w:tcMar>
          </w:tcPr>
          <w:p w14:paraId="53921E5F" w14:textId="77777777" w:rsidR="00F32F41" w:rsidRPr="00824526" w:rsidRDefault="00000000">
            <w:r w:rsidRPr="00824526">
              <w:rPr>
                <w:b/>
                <w:bCs/>
                <w:sz w:val="20"/>
                <w:szCs w:val="20"/>
              </w:rPr>
              <w:t>Niveau</w:t>
            </w:r>
          </w:p>
        </w:tc>
        <w:tc>
          <w:tcPr>
            <w:tcW w:w="5160" w:type="dxa"/>
            <w:tcBorders>
              <w:top w:val="single" w:sz="6" w:space="0" w:color="1E2761"/>
              <w:left w:val="single" w:sz="6" w:space="0" w:color="1E2761"/>
              <w:bottom w:val="single" w:sz="6" w:space="0" w:color="1E2761"/>
              <w:right w:val="single" w:sz="6" w:space="0" w:color="1E2761"/>
            </w:tcBorders>
            <w:tcMar>
              <w:top w:w="100" w:type="dxa"/>
              <w:left w:w="140" w:type="dxa"/>
              <w:bottom w:w="100" w:type="dxa"/>
              <w:right w:w="140" w:type="dxa"/>
            </w:tcMar>
          </w:tcPr>
          <w:p w14:paraId="27A40C3D" w14:textId="77777777" w:rsidR="00F32F41" w:rsidRPr="00824526" w:rsidRDefault="00000000" w:rsidP="0075546F">
            <w:pPr>
              <w:jc w:val="center"/>
            </w:pPr>
            <w:r w:rsidRPr="00824526">
              <w:rPr>
                <w:b/>
                <w:bCs/>
                <w:sz w:val="20"/>
                <w:szCs w:val="20"/>
              </w:rPr>
              <w:t>Impact potentiel</w:t>
            </w:r>
          </w:p>
        </w:tc>
      </w:tr>
      <w:tr w:rsidR="00F32F41" w14:paraId="515A147D"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59D25B" w14:textId="77777777" w:rsidR="00F32F41" w:rsidRDefault="00000000">
            <w:r>
              <w:rPr>
                <w:b/>
                <w:bCs/>
                <w:color w:val="1E2761"/>
                <w:sz w:val="20"/>
                <w:szCs w:val="20"/>
              </w:rPr>
              <w:t>Résistance massive des agents</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60" w:type="dxa"/>
              <w:left w:w="120" w:type="dxa"/>
              <w:bottom w:w="60" w:type="dxa"/>
              <w:right w:w="120" w:type="dxa"/>
            </w:tcMar>
            <w:vAlign w:val="center"/>
          </w:tcPr>
          <w:p w14:paraId="2AE7E459" w14:textId="77777777" w:rsidR="00F32F41" w:rsidRDefault="00000000">
            <w:pPr>
              <w:jc w:val="center"/>
            </w:pPr>
            <w:r>
              <w:rPr>
                <w:b/>
                <w:bCs/>
                <w:color w:val="FFFFFF"/>
                <w:sz w:val="16"/>
                <w:szCs w:val="16"/>
              </w:rPr>
              <w:t>CRITIQUE</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2FE467" w14:textId="77777777" w:rsidR="00F32F41" w:rsidRDefault="00000000">
            <w:r>
              <w:rPr>
                <w:color w:val="2A2A2A"/>
                <w:sz w:val="20"/>
                <w:szCs w:val="20"/>
              </w:rPr>
              <w:t>Rejet du changement, sabotage passif, perte de productivité durable sur toute la durée du projet</w:t>
            </w:r>
          </w:p>
        </w:tc>
      </w:tr>
      <w:tr w:rsidR="00F32F41" w14:paraId="3E69517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D0EDC9" w14:textId="77777777" w:rsidR="00F32F41" w:rsidRDefault="00000000">
            <w:r>
              <w:rPr>
                <w:b/>
                <w:bCs/>
                <w:color w:val="1E2761"/>
                <w:sz w:val="20"/>
                <w:szCs w:val="20"/>
              </w:rPr>
              <w:t>Surcharge organisationnelle</w:t>
            </w:r>
          </w:p>
        </w:tc>
        <w:tc>
          <w:tcPr>
            <w:tcW w:w="1400" w:type="dxa"/>
            <w:tcBorders>
              <w:top w:val="none" w:sz="0" w:space="0" w:color="FFFFFF"/>
              <w:left w:val="none" w:sz="0" w:space="0" w:color="FFFFFF"/>
              <w:bottom w:val="none" w:sz="0" w:space="0" w:color="FFFFFF"/>
              <w:right w:val="none" w:sz="0" w:space="0" w:color="FFFFFF"/>
            </w:tcBorders>
            <w:shd w:val="clear" w:color="auto" w:fill="E55B1F"/>
            <w:tcMar>
              <w:top w:w="60" w:type="dxa"/>
              <w:left w:w="120" w:type="dxa"/>
              <w:bottom w:w="60" w:type="dxa"/>
              <w:right w:w="120" w:type="dxa"/>
            </w:tcMar>
            <w:vAlign w:val="center"/>
          </w:tcPr>
          <w:p w14:paraId="753EDA7C" w14:textId="77777777" w:rsidR="00F32F41" w:rsidRDefault="00000000">
            <w:pPr>
              <w:jc w:val="center"/>
            </w:pPr>
            <w:r>
              <w:rPr>
                <w:b/>
                <w:bCs/>
                <w:color w:val="FFFFFF"/>
                <w:sz w:val="16"/>
                <w:szCs w:val="16"/>
              </w:rPr>
              <w:t>ÉLEVÉ</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50B62B" w14:textId="77777777" w:rsidR="00F32F41" w:rsidRDefault="00000000">
            <w:r>
              <w:rPr>
                <w:color w:val="2A2A2A"/>
                <w:sz w:val="20"/>
                <w:szCs w:val="20"/>
              </w:rPr>
              <w:t>Les équipes mobilisées sur 5 chantiers simultanément → paralysie des activités courantes</w:t>
            </w:r>
          </w:p>
        </w:tc>
      </w:tr>
      <w:tr w:rsidR="00F32F41" w14:paraId="2E84ABF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67CEEC" w14:textId="77777777" w:rsidR="00F32F41" w:rsidRDefault="00000000">
            <w:r>
              <w:rPr>
                <w:b/>
                <w:bCs/>
                <w:color w:val="1E2761"/>
                <w:sz w:val="20"/>
                <w:szCs w:val="20"/>
              </w:rPr>
              <w:t>Dépassement budgétaire</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60" w:type="dxa"/>
              <w:left w:w="120" w:type="dxa"/>
              <w:bottom w:w="60" w:type="dxa"/>
              <w:right w:w="120" w:type="dxa"/>
            </w:tcMar>
            <w:vAlign w:val="center"/>
          </w:tcPr>
          <w:p w14:paraId="4E7A1B82" w14:textId="77777777" w:rsidR="00F32F41" w:rsidRDefault="00000000">
            <w:pPr>
              <w:jc w:val="center"/>
            </w:pPr>
            <w:r>
              <w:rPr>
                <w:b/>
                <w:bCs/>
                <w:color w:val="FFFFFF"/>
                <w:sz w:val="16"/>
                <w:szCs w:val="16"/>
              </w:rPr>
              <w:t>CRITIQUE</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7E3A05" w14:textId="77777777" w:rsidR="00F32F41" w:rsidRDefault="00000000">
            <w:r>
              <w:rPr>
                <w:color w:val="2A2A2A"/>
                <w:sz w:val="20"/>
                <w:szCs w:val="20"/>
              </w:rPr>
              <w:t>Multiplicité des projets simultanés génère des coûts imprévus non maîtrisables</w:t>
            </w:r>
          </w:p>
        </w:tc>
      </w:tr>
      <w:tr w:rsidR="00F32F41" w14:paraId="1F38685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C59D30" w14:textId="77777777" w:rsidR="00F32F41" w:rsidRDefault="00000000">
            <w:r>
              <w:rPr>
                <w:b/>
                <w:bCs/>
                <w:color w:val="1E2761"/>
                <w:sz w:val="20"/>
                <w:szCs w:val="20"/>
              </w:rPr>
              <w:t>Perte de données / rupture de service</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60" w:type="dxa"/>
              <w:left w:w="120" w:type="dxa"/>
              <w:bottom w:w="60" w:type="dxa"/>
              <w:right w:w="120" w:type="dxa"/>
            </w:tcMar>
            <w:vAlign w:val="center"/>
          </w:tcPr>
          <w:p w14:paraId="622C0357" w14:textId="77777777" w:rsidR="00F32F41" w:rsidRDefault="00000000">
            <w:pPr>
              <w:jc w:val="center"/>
            </w:pPr>
            <w:r>
              <w:rPr>
                <w:b/>
                <w:bCs/>
                <w:color w:val="FFFFFF"/>
                <w:sz w:val="16"/>
                <w:szCs w:val="16"/>
              </w:rPr>
              <w:t>CRITIQUE</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8916B1" w14:textId="77777777" w:rsidR="00F32F41" w:rsidRDefault="00000000">
            <w:r>
              <w:rPr>
                <w:color w:val="2A2A2A"/>
                <w:sz w:val="20"/>
                <w:szCs w:val="20"/>
              </w:rPr>
              <w:t>Migration simultanée de tous les systèmes → risque de corruption ou interruption des services publics</w:t>
            </w:r>
          </w:p>
        </w:tc>
      </w:tr>
      <w:tr w:rsidR="00F32F41" w14:paraId="072C1047"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074B29" w14:textId="77777777" w:rsidR="00F32F41" w:rsidRDefault="00000000">
            <w:r>
              <w:rPr>
                <w:b/>
                <w:bCs/>
                <w:color w:val="1E2761"/>
                <w:sz w:val="20"/>
                <w:szCs w:val="20"/>
              </w:rPr>
              <w:t>Échec en cascade</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60" w:type="dxa"/>
              <w:left w:w="120" w:type="dxa"/>
              <w:bottom w:w="60" w:type="dxa"/>
              <w:right w:w="120" w:type="dxa"/>
            </w:tcMar>
            <w:vAlign w:val="center"/>
          </w:tcPr>
          <w:p w14:paraId="7CDB4C44" w14:textId="77777777" w:rsidR="00F32F41" w:rsidRDefault="00000000">
            <w:pPr>
              <w:jc w:val="center"/>
            </w:pPr>
            <w:r>
              <w:rPr>
                <w:b/>
                <w:bCs/>
                <w:color w:val="FFFFFF"/>
                <w:sz w:val="16"/>
                <w:szCs w:val="16"/>
              </w:rPr>
              <w:t>CRITIQUE</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09CDE2" w14:textId="77777777" w:rsidR="00F32F41" w:rsidRDefault="00000000">
            <w:r>
              <w:rPr>
                <w:color w:val="2A2A2A"/>
                <w:sz w:val="20"/>
                <w:szCs w:val="20"/>
              </w:rPr>
              <w:t>L'échec d'un seul module compromet l'intégration des autres et la totalité du projet</w:t>
            </w:r>
          </w:p>
        </w:tc>
      </w:tr>
      <w:tr w:rsidR="00F32F41" w14:paraId="27CA6D93"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79179C" w14:textId="77777777" w:rsidR="00F32F41" w:rsidRDefault="00000000">
            <w:r>
              <w:rPr>
                <w:b/>
                <w:bCs/>
                <w:color w:val="1E2761"/>
                <w:sz w:val="20"/>
                <w:szCs w:val="20"/>
              </w:rPr>
              <w:t>Formation insuffisante</w:t>
            </w:r>
          </w:p>
        </w:tc>
        <w:tc>
          <w:tcPr>
            <w:tcW w:w="1400" w:type="dxa"/>
            <w:tcBorders>
              <w:top w:val="none" w:sz="0" w:space="0" w:color="FFFFFF"/>
              <w:left w:val="none" w:sz="0" w:space="0" w:color="FFFFFF"/>
              <w:bottom w:val="none" w:sz="0" w:space="0" w:color="FFFFFF"/>
              <w:right w:val="none" w:sz="0" w:space="0" w:color="FFFFFF"/>
            </w:tcBorders>
            <w:shd w:val="clear" w:color="auto" w:fill="E55B1F"/>
            <w:tcMar>
              <w:top w:w="60" w:type="dxa"/>
              <w:left w:w="120" w:type="dxa"/>
              <w:bottom w:w="60" w:type="dxa"/>
              <w:right w:w="120" w:type="dxa"/>
            </w:tcMar>
            <w:vAlign w:val="center"/>
          </w:tcPr>
          <w:p w14:paraId="008B8EC6" w14:textId="77777777" w:rsidR="00F32F41" w:rsidRDefault="00000000">
            <w:pPr>
              <w:jc w:val="center"/>
            </w:pPr>
            <w:r>
              <w:rPr>
                <w:b/>
                <w:bCs/>
                <w:color w:val="FFFFFF"/>
                <w:sz w:val="16"/>
                <w:szCs w:val="16"/>
              </w:rPr>
              <w:t>ÉLEVÉ</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F0DFE8" w14:textId="77777777" w:rsidR="00F32F41" w:rsidRDefault="00000000">
            <w:r>
              <w:rPr>
                <w:color w:val="2A2A2A"/>
                <w:sz w:val="20"/>
                <w:szCs w:val="20"/>
              </w:rPr>
              <w:t>Impossible de former tous les agents sur 5 outils différents en 12 mois sans dégradation</w:t>
            </w:r>
          </w:p>
        </w:tc>
      </w:tr>
      <w:tr w:rsidR="00F32F41" w14:paraId="2C12A26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DA5869" w14:textId="77777777" w:rsidR="00F32F41" w:rsidRDefault="00000000">
            <w:r>
              <w:rPr>
                <w:b/>
                <w:bCs/>
                <w:color w:val="1E2761"/>
                <w:sz w:val="20"/>
                <w:szCs w:val="20"/>
              </w:rPr>
              <w:t>Blocage du pilotage</w:t>
            </w:r>
          </w:p>
        </w:tc>
        <w:tc>
          <w:tcPr>
            <w:tcW w:w="1400" w:type="dxa"/>
            <w:tcBorders>
              <w:top w:val="none" w:sz="0" w:space="0" w:color="FFFFFF"/>
              <w:left w:val="none" w:sz="0" w:space="0" w:color="FFFFFF"/>
              <w:bottom w:val="none" w:sz="0" w:space="0" w:color="FFFFFF"/>
              <w:right w:val="none" w:sz="0" w:space="0" w:color="FFFFFF"/>
            </w:tcBorders>
            <w:shd w:val="clear" w:color="auto" w:fill="E55B1F"/>
            <w:tcMar>
              <w:top w:w="60" w:type="dxa"/>
              <w:left w:w="120" w:type="dxa"/>
              <w:bottom w:w="60" w:type="dxa"/>
              <w:right w:w="120" w:type="dxa"/>
            </w:tcMar>
            <w:vAlign w:val="center"/>
          </w:tcPr>
          <w:p w14:paraId="227E6A95" w14:textId="77777777" w:rsidR="00F32F41" w:rsidRDefault="00000000">
            <w:pPr>
              <w:jc w:val="center"/>
            </w:pPr>
            <w:r>
              <w:rPr>
                <w:b/>
                <w:bCs/>
                <w:color w:val="FFFFFF"/>
                <w:sz w:val="16"/>
                <w:szCs w:val="16"/>
              </w:rPr>
              <w:t>ÉLEVÉ</w:t>
            </w:r>
          </w:p>
        </w:tc>
        <w:tc>
          <w:tcPr>
            <w:tcW w:w="51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B9B53" w14:textId="77777777" w:rsidR="00F32F41" w:rsidRDefault="00000000">
            <w:r>
              <w:rPr>
                <w:color w:val="2A2A2A"/>
                <w:sz w:val="20"/>
                <w:szCs w:val="20"/>
              </w:rPr>
              <w:t>Aucune phase de stabilisation ne permet d'identifier et corriger les erreurs en cours</w:t>
            </w:r>
          </w:p>
        </w:tc>
      </w:tr>
    </w:tbl>
    <w:p w14:paraId="61ECD9C0" w14:textId="77777777" w:rsidR="00F32F41" w:rsidRDefault="00F32F41">
      <w:pPr>
        <w:spacing w:before="60" w:after="60"/>
      </w:pPr>
    </w:p>
    <w:p w14:paraId="4F045898" w14:textId="77777777" w:rsidR="00F32F41" w:rsidRDefault="00000000">
      <w:pPr>
        <w:pStyle w:val="Titre1"/>
        <w:pBdr>
          <w:bottom w:val="single" w:sz="12" w:space="6" w:color="1E2761"/>
        </w:pBdr>
      </w:pPr>
      <w:r>
        <w:t xml:space="preserve">2. Proposition de 5 Quick </w:t>
      </w:r>
      <w:proofErr w:type="spellStart"/>
      <w:r>
        <w:t>Wins</w:t>
      </w:r>
      <w:proofErr w:type="spellEnd"/>
    </w:p>
    <w:p w14:paraId="74C7ADE3" w14:textId="77777777" w:rsidR="00F32F41" w:rsidRDefault="00000000">
      <w:pPr>
        <w:spacing w:before="80" w:after="80"/>
      </w:pPr>
      <w:r>
        <w:rPr>
          <w:color w:val="2A2A2A"/>
        </w:rPr>
        <w:t xml:space="preserve">Les Quick </w:t>
      </w:r>
      <w:proofErr w:type="spellStart"/>
      <w:r>
        <w:rPr>
          <w:color w:val="2A2A2A"/>
        </w:rPr>
        <w:t>Wins</w:t>
      </w:r>
      <w:proofErr w:type="spellEnd"/>
      <w:r>
        <w:rPr>
          <w:color w:val="2A2A2A"/>
        </w:rPr>
        <w:t xml:space="preserve"> sont des actions ciblées, réalisables en moins de 3 mois, produisant des résultats visibles et mesurables. Ils servent à créer la preuve du changement et à générer l'adhésion des agents.</w:t>
      </w:r>
    </w:p>
    <w:p w14:paraId="2B66C22C" w14:textId="77777777" w:rsidR="00F32F41" w:rsidRDefault="00F32F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
        <w:gridCol w:w="1997"/>
        <w:gridCol w:w="2988"/>
        <w:gridCol w:w="998"/>
        <w:gridCol w:w="2849"/>
      </w:tblGrid>
      <w:tr w:rsidR="00F32F41" w14:paraId="66578F26" w14:textId="77777777" w:rsidTr="00824526">
        <w:tblPrEx>
          <w:tblCellMar>
            <w:top w:w="0" w:type="dxa"/>
            <w:bottom w:w="0" w:type="dxa"/>
          </w:tblCellMar>
        </w:tblPrEx>
        <w:trPr>
          <w:tblHeader/>
        </w:trPr>
        <w:tc>
          <w:tcPr>
            <w:tcW w:w="500" w:type="dxa"/>
            <w:tcBorders>
              <w:top w:val="single" w:sz="6" w:space="0" w:color="1A7A4A"/>
              <w:left w:val="single" w:sz="6" w:space="0" w:color="1A7A4A"/>
              <w:bottom w:val="single" w:sz="6" w:space="0" w:color="1A7A4A"/>
              <w:right w:val="single" w:sz="6" w:space="0" w:color="1A7A4A"/>
            </w:tcBorders>
            <w:tcMar>
              <w:top w:w="100" w:type="dxa"/>
              <w:left w:w="140" w:type="dxa"/>
              <w:bottom w:w="100" w:type="dxa"/>
              <w:right w:w="140" w:type="dxa"/>
            </w:tcMar>
          </w:tcPr>
          <w:p w14:paraId="2033CA42" w14:textId="22E5B761" w:rsidR="00F32F41" w:rsidRPr="00824526" w:rsidRDefault="00824526">
            <w:pPr>
              <w:rPr>
                <w:b/>
                <w:bCs/>
              </w:rPr>
            </w:pPr>
            <w:r w:rsidRPr="00824526">
              <w:rPr>
                <w:b/>
                <w:bCs/>
              </w:rPr>
              <w:t>N°</w:t>
            </w:r>
          </w:p>
        </w:tc>
        <w:tc>
          <w:tcPr>
            <w:tcW w:w="2000" w:type="dxa"/>
            <w:tcBorders>
              <w:top w:val="single" w:sz="6" w:space="0" w:color="1A7A4A"/>
              <w:left w:val="single" w:sz="6" w:space="0" w:color="1A7A4A"/>
              <w:bottom w:val="single" w:sz="6" w:space="0" w:color="1A7A4A"/>
              <w:right w:val="single" w:sz="6" w:space="0" w:color="1A7A4A"/>
            </w:tcBorders>
            <w:tcMar>
              <w:top w:w="100" w:type="dxa"/>
              <w:left w:w="140" w:type="dxa"/>
              <w:bottom w:w="100" w:type="dxa"/>
              <w:right w:w="140" w:type="dxa"/>
            </w:tcMar>
          </w:tcPr>
          <w:p w14:paraId="7DE30942" w14:textId="77777777" w:rsidR="00F32F41" w:rsidRPr="00824526" w:rsidRDefault="00000000">
            <w:r w:rsidRPr="00824526">
              <w:rPr>
                <w:b/>
                <w:bCs/>
                <w:sz w:val="20"/>
                <w:szCs w:val="20"/>
              </w:rPr>
              <w:t>Quick Win</w:t>
            </w:r>
          </w:p>
        </w:tc>
        <w:tc>
          <w:tcPr>
            <w:tcW w:w="3000" w:type="dxa"/>
            <w:tcBorders>
              <w:top w:val="single" w:sz="6" w:space="0" w:color="1A7A4A"/>
              <w:left w:val="single" w:sz="6" w:space="0" w:color="1A7A4A"/>
              <w:bottom w:val="single" w:sz="6" w:space="0" w:color="1A7A4A"/>
              <w:right w:val="single" w:sz="6" w:space="0" w:color="1A7A4A"/>
            </w:tcBorders>
            <w:tcMar>
              <w:top w:w="100" w:type="dxa"/>
              <w:left w:w="140" w:type="dxa"/>
              <w:bottom w:w="100" w:type="dxa"/>
              <w:right w:w="140" w:type="dxa"/>
            </w:tcMar>
          </w:tcPr>
          <w:p w14:paraId="09E72D87" w14:textId="77777777" w:rsidR="00F32F41" w:rsidRPr="00824526" w:rsidRDefault="00000000">
            <w:r w:rsidRPr="00824526">
              <w:rPr>
                <w:b/>
                <w:bCs/>
                <w:sz w:val="20"/>
                <w:szCs w:val="20"/>
              </w:rPr>
              <w:t>Impact attendu</w:t>
            </w:r>
          </w:p>
        </w:tc>
        <w:tc>
          <w:tcPr>
            <w:tcW w:w="1000" w:type="dxa"/>
            <w:tcBorders>
              <w:top w:val="single" w:sz="6" w:space="0" w:color="1A7A4A"/>
              <w:left w:val="single" w:sz="6" w:space="0" w:color="1A7A4A"/>
              <w:bottom w:val="single" w:sz="6" w:space="0" w:color="1A7A4A"/>
              <w:right w:val="single" w:sz="6" w:space="0" w:color="1A7A4A"/>
            </w:tcBorders>
            <w:tcMar>
              <w:top w:w="100" w:type="dxa"/>
              <w:left w:w="140" w:type="dxa"/>
              <w:bottom w:w="100" w:type="dxa"/>
              <w:right w:w="140" w:type="dxa"/>
            </w:tcMar>
          </w:tcPr>
          <w:p w14:paraId="04CA53F6" w14:textId="77777777" w:rsidR="00F32F41" w:rsidRPr="00824526" w:rsidRDefault="00000000">
            <w:r w:rsidRPr="00824526">
              <w:rPr>
                <w:b/>
                <w:bCs/>
                <w:sz w:val="20"/>
                <w:szCs w:val="20"/>
              </w:rPr>
              <w:t>Délai</w:t>
            </w:r>
          </w:p>
        </w:tc>
        <w:tc>
          <w:tcPr>
            <w:tcW w:w="2860" w:type="dxa"/>
            <w:tcBorders>
              <w:top w:val="single" w:sz="6" w:space="0" w:color="1A7A4A"/>
              <w:left w:val="single" w:sz="6" w:space="0" w:color="1A7A4A"/>
              <w:bottom w:val="single" w:sz="6" w:space="0" w:color="1A7A4A"/>
              <w:right w:val="single" w:sz="6" w:space="0" w:color="1A7A4A"/>
            </w:tcBorders>
            <w:tcMar>
              <w:top w:w="100" w:type="dxa"/>
              <w:left w:w="140" w:type="dxa"/>
              <w:bottom w:w="100" w:type="dxa"/>
              <w:right w:w="140" w:type="dxa"/>
            </w:tcMar>
          </w:tcPr>
          <w:p w14:paraId="6103B585" w14:textId="77777777" w:rsidR="00F32F41" w:rsidRPr="00824526" w:rsidRDefault="00000000">
            <w:r w:rsidRPr="00824526">
              <w:rPr>
                <w:b/>
                <w:bCs/>
                <w:sz w:val="20"/>
                <w:szCs w:val="20"/>
              </w:rPr>
              <w:t>KPI mesurable</w:t>
            </w:r>
          </w:p>
        </w:tc>
      </w:tr>
      <w:tr w:rsidR="00F32F41" w14:paraId="6213F9A8" w14:textId="77777777" w:rsidTr="00824526">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tcMar>
              <w:top w:w="80" w:type="dxa"/>
              <w:left w:w="80" w:type="dxa"/>
              <w:bottom w:w="80" w:type="dxa"/>
              <w:right w:w="80" w:type="dxa"/>
            </w:tcMar>
            <w:vAlign w:val="center"/>
          </w:tcPr>
          <w:p w14:paraId="481B8ADB" w14:textId="77777777" w:rsidR="00F32F41" w:rsidRPr="00824526" w:rsidRDefault="00000000">
            <w:pPr>
              <w:jc w:val="center"/>
            </w:pPr>
            <w:r w:rsidRPr="00824526">
              <w:rPr>
                <w:b/>
                <w:bCs/>
                <w:sz w:val="20"/>
                <w:szCs w:val="20"/>
              </w:rPr>
              <w:t>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3AADC88" w14:textId="77777777" w:rsidR="00F32F41" w:rsidRDefault="00000000">
            <w:r>
              <w:rPr>
                <w:b/>
                <w:bCs/>
                <w:color w:val="1E2761"/>
                <w:sz w:val="20"/>
                <w:szCs w:val="20"/>
              </w:rPr>
              <w:t>Identifiant unique agent</w:t>
            </w:r>
          </w:p>
        </w:tc>
        <w:tc>
          <w:tcPr>
            <w:tcW w:w="3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DB399B" w14:textId="77777777" w:rsidR="00F32F41" w:rsidRDefault="00000000">
            <w:r>
              <w:rPr>
                <w:color w:val="2A2A2A"/>
                <w:sz w:val="20"/>
                <w:szCs w:val="20"/>
              </w:rPr>
              <w:t>Élimination des doublons, cohérence des données RH entre services</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3DADDF" w14:textId="77777777" w:rsidR="00F32F41" w:rsidRDefault="00000000">
            <w:r>
              <w:rPr>
                <w:color w:val="6B7A99"/>
                <w:sz w:val="20"/>
                <w:szCs w:val="20"/>
              </w:rPr>
              <w:t>1 mois</w:t>
            </w:r>
          </w:p>
        </w:tc>
        <w:tc>
          <w:tcPr>
            <w:tcW w:w="28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44378D" w14:textId="77777777" w:rsidR="00F32F41" w:rsidRDefault="00000000">
            <w:r>
              <w:rPr>
                <w:b/>
                <w:bCs/>
                <w:color w:val="1A7A4A"/>
                <w:sz w:val="20"/>
                <w:szCs w:val="20"/>
              </w:rPr>
              <w:t>0 doublons dans la base</w:t>
            </w:r>
          </w:p>
        </w:tc>
      </w:tr>
      <w:tr w:rsidR="00F32F41" w14:paraId="21E71739" w14:textId="77777777" w:rsidTr="00824526">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tcMar>
              <w:top w:w="80" w:type="dxa"/>
              <w:left w:w="80" w:type="dxa"/>
              <w:bottom w:w="80" w:type="dxa"/>
              <w:right w:w="80" w:type="dxa"/>
            </w:tcMar>
            <w:vAlign w:val="center"/>
          </w:tcPr>
          <w:p w14:paraId="335D8F47" w14:textId="77777777" w:rsidR="00F32F41" w:rsidRPr="00824526" w:rsidRDefault="00000000">
            <w:pPr>
              <w:jc w:val="center"/>
            </w:pPr>
            <w:r w:rsidRPr="00824526">
              <w:rPr>
                <w:b/>
                <w:bCs/>
                <w:sz w:val="20"/>
                <w:szCs w:val="20"/>
              </w:rPr>
              <w:t>02</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4E6A31" w14:textId="77777777" w:rsidR="00F32F41" w:rsidRDefault="00000000">
            <w:r>
              <w:rPr>
                <w:b/>
                <w:bCs/>
                <w:color w:val="1E2761"/>
                <w:sz w:val="20"/>
                <w:szCs w:val="20"/>
              </w:rPr>
              <w:t>Digitalisation du courrier entrant</w:t>
            </w:r>
          </w:p>
        </w:tc>
        <w:tc>
          <w:tcPr>
            <w:tcW w:w="3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4C93A6" w14:textId="77777777" w:rsidR="00F32F41" w:rsidRDefault="00000000">
            <w:r>
              <w:rPr>
                <w:color w:val="2A2A2A"/>
                <w:sz w:val="20"/>
                <w:szCs w:val="20"/>
              </w:rPr>
              <w:t>Traçabilité complète, réduction du délai de traitement de 40%</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C90379" w14:textId="77777777" w:rsidR="00F32F41" w:rsidRDefault="00000000">
            <w:r>
              <w:rPr>
                <w:color w:val="6B7A99"/>
                <w:sz w:val="20"/>
                <w:szCs w:val="20"/>
              </w:rPr>
              <w:t>2 mois</w:t>
            </w:r>
          </w:p>
        </w:tc>
        <w:tc>
          <w:tcPr>
            <w:tcW w:w="28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4970D54" w14:textId="77777777" w:rsidR="00F32F41" w:rsidRDefault="00000000">
            <w:r>
              <w:rPr>
                <w:b/>
                <w:bCs/>
                <w:color w:val="1A7A4A"/>
                <w:sz w:val="20"/>
                <w:szCs w:val="20"/>
              </w:rPr>
              <w:t>-40% délai traitement</w:t>
            </w:r>
          </w:p>
        </w:tc>
      </w:tr>
      <w:tr w:rsidR="00F32F41" w14:paraId="7561290A" w14:textId="77777777" w:rsidTr="00824526">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tcMar>
              <w:top w:w="80" w:type="dxa"/>
              <w:left w:w="80" w:type="dxa"/>
              <w:bottom w:w="80" w:type="dxa"/>
              <w:right w:w="80" w:type="dxa"/>
            </w:tcMar>
            <w:vAlign w:val="center"/>
          </w:tcPr>
          <w:p w14:paraId="3972B907" w14:textId="77777777" w:rsidR="00F32F41" w:rsidRPr="00824526" w:rsidRDefault="00000000">
            <w:pPr>
              <w:jc w:val="center"/>
            </w:pPr>
            <w:r w:rsidRPr="00824526">
              <w:rPr>
                <w:b/>
                <w:bCs/>
                <w:sz w:val="20"/>
                <w:szCs w:val="20"/>
              </w:rPr>
              <w:lastRenderedPageBreak/>
              <w:t>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311AC9" w14:textId="77777777" w:rsidR="00F32F41" w:rsidRDefault="00000000">
            <w:r>
              <w:rPr>
                <w:b/>
                <w:bCs/>
                <w:color w:val="1E2761"/>
                <w:sz w:val="20"/>
                <w:szCs w:val="20"/>
              </w:rPr>
              <w:t>Tableau de bord RH simplifié</w:t>
            </w:r>
          </w:p>
        </w:tc>
        <w:tc>
          <w:tcPr>
            <w:tcW w:w="3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D514F" w14:textId="77777777" w:rsidR="00F32F41" w:rsidRDefault="00000000">
            <w:r>
              <w:rPr>
                <w:color w:val="2A2A2A"/>
                <w:sz w:val="20"/>
                <w:szCs w:val="20"/>
              </w:rPr>
              <w:t>Visibilité immédiate pour la direction sur effectifs, absences, congés</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17B1" w14:textId="77777777" w:rsidR="00F32F41" w:rsidRDefault="00000000">
            <w:r>
              <w:rPr>
                <w:color w:val="6B7A99"/>
                <w:sz w:val="20"/>
                <w:szCs w:val="20"/>
              </w:rPr>
              <w:t>1 mois</w:t>
            </w:r>
          </w:p>
        </w:tc>
        <w:tc>
          <w:tcPr>
            <w:tcW w:w="28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ADE5B" w14:textId="77777777" w:rsidR="00F32F41" w:rsidRDefault="00000000">
            <w:r>
              <w:rPr>
                <w:b/>
                <w:bCs/>
                <w:color w:val="1A7A4A"/>
                <w:sz w:val="20"/>
                <w:szCs w:val="20"/>
              </w:rPr>
              <w:t>1 rapport hebdo automatique</w:t>
            </w:r>
          </w:p>
        </w:tc>
      </w:tr>
      <w:tr w:rsidR="00F32F41" w14:paraId="64CDDD5F" w14:textId="77777777" w:rsidTr="00824526">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tcMar>
              <w:top w:w="80" w:type="dxa"/>
              <w:left w:w="80" w:type="dxa"/>
              <w:bottom w:w="80" w:type="dxa"/>
              <w:right w:w="80" w:type="dxa"/>
            </w:tcMar>
            <w:vAlign w:val="center"/>
          </w:tcPr>
          <w:p w14:paraId="2B7058A0" w14:textId="77777777" w:rsidR="00F32F41" w:rsidRPr="00824526" w:rsidRDefault="00000000">
            <w:pPr>
              <w:jc w:val="center"/>
            </w:pPr>
            <w:r w:rsidRPr="00824526">
              <w:rPr>
                <w:b/>
                <w:bCs/>
                <w:sz w:val="20"/>
                <w:szCs w:val="20"/>
              </w:rPr>
              <w:t>04</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04AC7F" w14:textId="77777777" w:rsidR="00F32F41" w:rsidRDefault="00000000">
            <w:r>
              <w:rPr>
                <w:b/>
                <w:bCs/>
                <w:color w:val="1E2761"/>
                <w:sz w:val="20"/>
                <w:szCs w:val="20"/>
              </w:rPr>
              <w:t>Workflow numérique validation congés</w:t>
            </w:r>
          </w:p>
        </w:tc>
        <w:tc>
          <w:tcPr>
            <w:tcW w:w="3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A4AB9" w14:textId="77777777" w:rsidR="00F32F41" w:rsidRDefault="00000000">
            <w:r>
              <w:rPr>
                <w:color w:val="2A2A2A"/>
                <w:sz w:val="20"/>
                <w:szCs w:val="20"/>
              </w:rPr>
              <w:t>Suppression des formulaires papier RH, gain de temps gestionnaires</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F152BC" w14:textId="77777777" w:rsidR="00F32F41" w:rsidRDefault="00000000">
            <w:r>
              <w:rPr>
                <w:color w:val="6B7A99"/>
                <w:sz w:val="20"/>
                <w:szCs w:val="20"/>
              </w:rPr>
              <w:t>2 mois</w:t>
            </w:r>
          </w:p>
        </w:tc>
        <w:tc>
          <w:tcPr>
            <w:tcW w:w="28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FF9A44" w14:textId="77777777" w:rsidR="00F32F41" w:rsidRDefault="00000000">
            <w:r>
              <w:rPr>
                <w:b/>
                <w:bCs/>
                <w:color w:val="1A7A4A"/>
                <w:sz w:val="20"/>
                <w:szCs w:val="20"/>
              </w:rPr>
              <w:t>100% dossiers numérisés</w:t>
            </w:r>
          </w:p>
        </w:tc>
      </w:tr>
      <w:tr w:rsidR="00F32F41" w14:paraId="57A06191" w14:textId="77777777" w:rsidTr="00824526">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tcMar>
              <w:top w:w="80" w:type="dxa"/>
              <w:left w:w="80" w:type="dxa"/>
              <w:bottom w:w="80" w:type="dxa"/>
              <w:right w:w="80" w:type="dxa"/>
            </w:tcMar>
            <w:vAlign w:val="center"/>
          </w:tcPr>
          <w:p w14:paraId="48B267F8" w14:textId="77777777" w:rsidR="00F32F41" w:rsidRPr="00824526" w:rsidRDefault="00000000">
            <w:pPr>
              <w:jc w:val="center"/>
            </w:pPr>
            <w:r w:rsidRPr="00824526">
              <w:rPr>
                <w:b/>
                <w:bCs/>
                <w:sz w:val="20"/>
                <w:szCs w:val="20"/>
              </w:rPr>
              <w:t>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F4B627E" w14:textId="77777777" w:rsidR="00F32F41" w:rsidRDefault="00000000">
            <w:r>
              <w:rPr>
                <w:b/>
                <w:bCs/>
                <w:color w:val="1E2761"/>
                <w:sz w:val="20"/>
                <w:szCs w:val="20"/>
              </w:rPr>
              <w:t>Centralisation des données budgétaires</w:t>
            </w:r>
          </w:p>
        </w:tc>
        <w:tc>
          <w:tcPr>
            <w:tcW w:w="3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0E6DF8" w14:textId="77777777" w:rsidR="00F32F41" w:rsidRDefault="00000000">
            <w:r>
              <w:rPr>
                <w:color w:val="2A2A2A"/>
                <w:sz w:val="20"/>
                <w:szCs w:val="20"/>
              </w:rPr>
              <w:t>Une source unique de vérité, fin des tableurs Excel isolés par direction</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9D6FAD" w14:textId="77777777" w:rsidR="00F32F41" w:rsidRDefault="00000000">
            <w:r>
              <w:rPr>
                <w:color w:val="6B7A99"/>
                <w:sz w:val="20"/>
                <w:szCs w:val="20"/>
              </w:rPr>
              <w:t>3 mois</w:t>
            </w:r>
          </w:p>
        </w:tc>
        <w:tc>
          <w:tcPr>
            <w:tcW w:w="28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D21C9C" w14:textId="77777777" w:rsidR="00F32F41" w:rsidRDefault="00000000">
            <w:r>
              <w:rPr>
                <w:b/>
                <w:bCs/>
                <w:color w:val="1A7A4A"/>
                <w:sz w:val="20"/>
                <w:szCs w:val="20"/>
              </w:rPr>
              <w:t>1 source de vérité unique</w:t>
            </w:r>
          </w:p>
        </w:tc>
      </w:tr>
    </w:tbl>
    <w:p w14:paraId="3ECBC9CC" w14:textId="77777777" w:rsidR="00F32F41" w:rsidRDefault="00F32F41">
      <w:pPr>
        <w:spacing w:before="60" w:after="60"/>
      </w:pPr>
    </w:p>
    <w:p w14:paraId="0DCFD076" w14:textId="77777777" w:rsidR="00F32F41" w:rsidRDefault="00000000">
      <w:pPr>
        <w:pStyle w:val="Titre1"/>
        <w:pBdr>
          <w:bottom w:val="single" w:sz="12" w:space="6" w:color="1E2761"/>
        </w:pBdr>
      </w:pPr>
      <w:r>
        <w:t>3. Plan de conduite du changement</w:t>
      </w:r>
    </w:p>
    <w:p w14:paraId="787CF0D7" w14:textId="77777777" w:rsidR="00F32F41" w:rsidRDefault="00000000">
      <w:pPr>
        <w:spacing w:before="80" w:after="80"/>
      </w:pPr>
      <w:r>
        <w:rPr>
          <w:color w:val="2A2A2A"/>
        </w:rPr>
        <w:t>La réussite d'une transformation digitale repose à 70% sur l'humain et 30% sur la technologie. Ce mini-plan couvre 5 piliers essentiels sur l'ensemble de la durée du projet.</w:t>
      </w:r>
    </w:p>
    <w:p w14:paraId="6C306E3A" w14:textId="77777777" w:rsidR="00F32F41" w:rsidRDefault="00F32F41">
      <w:pPr>
        <w:spacing w:before="60" w:after="60"/>
      </w:pPr>
    </w:p>
    <w:p w14:paraId="1901864F" w14:textId="77777777" w:rsidR="00F32F41" w:rsidRDefault="00000000">
      <w:pPr>
        <w:pStyle w:val="Titre2"/>
      </w:pPr>
      <w:proofErr w:type="gramStart"/>
      <w:r>
        <w:t>3.1  Communication</w:t>
      </w:r>
      <w:proofErr w:type="gramEnd"/>
      <w:r>
        <w:t xml:space="preserve"> interne</w:t>
      </w:r>
    </w:p>
    <w:p w14:paraId="6A8A3314" w14:textId="77777777" w:rsidR="00F32F41" w:rsidRDefault="00000000">
      <w:pPr>
        <w:pStyle w:val="Paragraphedeliste"/>
        <w:numPr>
          <w:ilvl w:val="0"/>
          <w:numId w:val="2"/>
        </w:numPr>
        <w:spacing w:before="60" w:after="60"/>
      </w:pPr>
      <w:r>
        <w:rPr>
          <w:color w:val="2A2A2A"/>
        </w:rPr>
        <w:t>Lancement officiel par le ministre pour légitimer la démarche et en faire un signal politique fort.</w:t>
      </w:r>
    </w:p>
    <w:p w14:paraId="52D670D0" w14:textId="77777777" w:rsidR="00F32F41" w:rsidRDefault="00000000">
      <w:pPr>
        <w:pStyle w:val="Paragraphedeliste"/>
        <w:numPr>
          <w:ilvl w:val="0"/>
          <w:numId w:val="2"/>
        </w:numPr>
        <w:spacing w:before="60" w:after="60"/>
      </w:pPr>
      <w:r>
        <w:rPr>
          <w:color w:val="2A2A2A"/>
        </w:rPr>
        <w:t>Newsletter mensuelle d'avancement publiée sur l'intranet avec indicateurs concrets.</w:t>
      </w:r>
    </w:p>
    <w:p w14:paraId="07B2C0A5" w14:textId="77777777" w:rsidR="00F32F41" w:rsidRDefault="00000000">
      <w:pPr>
        <w:pStyle w:val="Paragraphedeliste"/>
        <w:numPr>
          <w:ilvl w:val="0"/>
          <w:numId w:val="2"/>
        </w:numPr>
        <w:spacing w:before="60" w:after="60"/>
      </w:pPr>
      <w:r>
        <w:rPr>
          <w:color w:val="2A2A2A"/>
        </w:rPr>
        <w:t xml:space="preserve">Affichage visible des Quick </w:t>
      </w:r>
      <w:proofErr w:type="spellStart"/>
      <w:r>
        <w:rPr>
          <w:color w:val="2A2A2A"/>
        </w:rPr>
        <w:t>Wins</w:t>
      </w:r>
      <w:proofErr w:type="spellEnd"/>
      <w:r>
        <w:rPr>
          <w:color w:val="2A2A2A"/>
        </w:rPr>
        <w:t xml:space="preserve"> réalisés pour créer la dynamique positive et maintenir la motivation.</w:t>
      </w:r>
    </w:p>
    <w:p w14:paraId="6F952EB0" w14:textId="77777777" w:rsidR="00F32F41" w:rsidRDefault="00F32F41">
      <w:pPr>
        <w:spacing w:before="60" w:after="60"/>
      </w:pPr>
    </w:p>
    <w:p w14:paraId="492D1158" w14:textId="77777777" w:rsidR="00F32F41" w:rsidRDefault="00000000">
      <w:pPr>
        <w:pStyle w:val="Titre2"/>
      </w:pPr>
      <w:proofErr w:type="gramStart"/>
      <w:r>
        <w:t>3.2  Formation</w:t>
      </w:r>
      <w:proofErr w:type="gramEnd"/>
      <w:r>
        <w:t xml:space="preserve"> ciblée</w:t>
      </w:r>
    </w:p>
    <w:p w14:paraId="60FF3D1A" w14:textId="77777777" w:rsidR="00F32F41" w:rsidRDefault="00000000">
      <w:pPr>
        <w:pStyle w:val="Paragraphedeliste"/>
        <w:numPr>
          <w:ilvl w:val="0"/>
          <w:numId w:val="2"/>
        </w:numPr>
        <w:spacing w:before="60" w:after="60"/>
      </w:pPr>
      <w:r>
        <w:rPr>
          <w:color w:val="2A2A2A"/>
        </w:rPr>
        <w:t>Formations courtes (1h à 2h) par outil, adaptées au profil métier de chaque agent.</w:t>
      </w:r>
    </w:p>
    <w:p w14:paraId="3AD7EA02" w14:textId="77777777" w:rsidR="00F32F41" w:rsidRDefault="00000000">
      <w:pPr>
        <w:pStyle w:val="Paragraphedeliste"/>
        <w:numPr>
          <w:ilvl w:val="0"/>
          <w:numId w:val="2"/>
        </w:numPr>
        <w:spacing w:before="60" w:after="60"/>
      </w:pPr>
      <w:r>
        <w:rPr>
          <w:color w:val="2A2A2A"/>
        </w:rPr>
        <w:t>Tutoriels vidéo accessibles en libre accès sur l'intranet à tout moment.</w:t>
      </w:r>
    </w:p>
    <w:p w14:paraId="08392738" w14:textId="77777777" w:rsidR="00F32F41" w:rsidRDefault="00000000">
      <w:pPr>
        <w:pStyle w:val="Paragraphedeliste"/>
        <w:numPr>
          <w:ilvl w:val="0"/>
          <w:numId w:val="2"/>
        </w:numPr>
        <w:spacing w:before="60" w:after="60"/>
      </w:pPr>
      <w:r>
        <w:rPr>
          <w:color w:val="2A2A2A"/>
        </w:rPr>
        <w:t>Désignation de référents digitaux dans chaque direction, formés en priorité et disponibles pour leurs collègues.</w:t>
      </w:r>
    </w:p>
    <w:p w14:paraId="13A256AE" w14:textId="77777777" w:rsidR="00F32F41" w:rsidRDefault="00F32F41">
      <w:pPr>
        <w:spacing w:before="60" w:after="60"/>
      </w:pPr>
    </w:p>
    <w:p w14:paraId="55E401B0" w14:textId="77777777" w:rsidR="00F32F41" w:rsidRDefault="00000000">
      <w:pPr>
        <w:pStyle w:val="Titre2"/>
      </w:pPr>
      <w:proofErr w:type="gramStart"/>
      <w:r>
        <w:t>3.3  Implication</w:t>
      </w:r>
      <w:proofErr w:type="gramEnd"/>
      <w:r>
        <w:t xml:space="preserve"> des directeurs</w:t>
      </w:r>
    </w:p>
    <w:p w14:paraId="2721AAC9" w14:textId="77777777" w:rsidR="00F32F41" w:rsidRDefault="00000000">
      <w:pPr>
        <w:pStyle w:val="Paragraphedeliste"/>
        <w:numPr>
          <w:ilvl w:val="0"/>
          <w:numId w:val="2"/>
        </w:numPr>
        <w:spacing w:before="60" w:after="60"/>
      </w:pPr>
      <w:r>
        <w:rPr>
          <w:color w:val="2A2A2A"/>
        </w:rPr>
        <w:t>Comité de pilotage mensuel réunissant tous les directeurs autour des indicateurs de déploiement.</w:t>
      </w:r>
    </w:p>
    <w:p w14:paraId="51A19F6F" w14:textId="77777777" w:rsidR="00F32F41" w:rsidRDefault="00000000">
      <w:pPr>
        <w:pStyle w:val="Paragraphedeliste"/>
        <w:numPr>
          <w:ilvl w:val="0"/>
          <w:numId w:val="2"/>
        </w:numPr>
        <w:spacing w:before="60" w:after="60"/>
      </w:pPr>
      <w:r>
        <w:rPr>
          <w:color w:val="2A2A2A"/>
        </w:rPr>
        <w:t>Chaque directeur est ambassadeur du projet dans son périmètre et porte le message auprès de ses équipes.</w:t>
      </w:r>
    </w:p>
    <w:p w14:paraId="406E4AED" w14:textId="77777777" w:rsidR="00F32F41" w:rsidRDefault="00000000">
      <w:pPr>
        <w:pStyle w:val="Paragraphedeliste"/>
        <w:numPr>
          <w:ilvl w:val="0"/>
          <w:numId w:val="2"/>
        </w:numPr>
        <w:spacing w:before="60" w:after="60"/>
      </w:pPr>
      <w:r>
        <w:rPr>
          <w:color w:val="2A2A2A"/>
        </w:rPr>
        <w:t>Tableau de bord dédié direction pour suivre l'avancement en temps réel et arbitrer les priorités.</w:t>
      </w:r>
    </w:p>
    <w:p w14:paraId="623D4BA0" w14:textId="77777777" w:rsidR="00F32F41" w:rsidRDefault="00F32F41">
      <w:pPr>
        <w:spacing w:before="60" w:after="60"/>
      </w:pPr>
    </w:p>
    <w:p w14:paraId="648B17AF" w14:textId="77777777" w:rsidR="00F32F41" w:rsidRDefault="00000000">
      <w:pPr>
        <w:pStyle w:val="Titre2"/>
      </w:pPr>
      <w:proofErr w:type="gramStart"/>
      <w:r>
        <w:t>3.4  Accompagnement</w:t>
      </w:r>
      <w:proofErr w:type="gramEnd"/>
      <w:r>
        <w:t xml:space="preserve"> terrain</w:t>
      </w:r>
    </w:p>
    <w:p w14:paraId="47187741" w14:textId="77777777" w:rsidR="00F32F41" w:rsidRDefault="00000000">
      <w:pPr>
        <w:pStyle w:val="Paragraphedeliste"/>
        <w:numPr>
          <w:ilvl w:val="0"/>
          <w:numId w:val="2"/>
        </w:numPr>
        <w:spacing w:before="60" w:after="60"/>
      </w:pPr>
      <w:r>
        <w:rPr>
          <w:color w:val="2A2A2A"/>
        </w:rPr>
        <w:t>Équipe support dédiée assurant une présence physique hebdomadaire pendant les 6 premiers mois de chaque phase.</w:t>
      </w:r>
    </w:p>
    <w:p w14:paraId="10A3DAEC" w14:textId="77777777" w:rsidR="00F32F41" w:rsidRDefault="00000000">
      <w:pPr>
        <w:pStyle w:val="Paragraphedeliste"/>
        <w:numPr>
          <w:ilvl w:val="0"/>
          <w:numId w:val="2"/>
        </w:numPr>
        <w:spacing w:before="60" w:after="60"/>
      </w:pPr>
      <w:r>
        <w:rPr>
          <w:color w:val="2A2A2A"/>
        </w:rPr>
        <w:t xml:space="preserve">Hotline interne et système de </w:t>
      </w:r>
      <w:proofErr w:type="spellStart"/>
      <w:r>
        <w:rPr>
          <w:color w:val="2A2A2A"/>
        </w:rPr>
        <w:t>ticketing</w:t>
      </w:r>
      <w:proofErr w:type="spellEnd"/>
      <w:r>
        <w:rPr>
          <w:color w:val="2A2A2A"/>
        </w:rPr>
        <w:t xml:space="preserve"> pour traiter les blocages rapidement et sans bureaucratie supplémentaire.</w:t>
      </w:r>
    </w:p>
    <w:p w14:paraId="79124F32" w14:textId="77777777" w:rsidR="00F32F41" w:rsidRDefault="00F32F41">
      <w:pPr>
        <w:spacing w:before="60" w:after="60"/>
      </w:pPr>
    </w:p>
    <w:p w14:paraId="4E752B99" w14:textId="77777777" w:rsidR="00F32F41" w:rsidRDefault="00000000">
      <w:pPr>
        <w:pStyle w:val="Titre2"/>
      </w:pPr>
      <w:proofErr w:type="gramStart"/>
      <w:r>
        <w:t>3.5  Support</w:t>
      </w:r>
      <w:proofErr w:type="gramEnd"/>
      <w:r>
        <w:t xml:space="preserve"> post-déploiement</w:t>
      </w:r>
    </w:p>
    <w:p w14:paraId="00165EEF" w14:textId="77777777" w:rsidR="00F32F41" w:rsidRDefault="00000000">
      <w:pPr>
        <w:pStyle w:val="Paragraphedeliste"/>
        <w:numPr>
          <w:ilvl w:val="0"/>
          <w:numId w:val="2"/>
        </w:numPr>
        <w:spacing w:before="60" w:after="60"/>
      </w:pPr>
      <w:r>
        <w:rPr>
          <w:color w:val="2A2A2A"/>
        </w:rPr>
        <w:t>Bilan à 30 jours après chaque déploiement avec analyse des incidents et retours terrain.</w:t>
      </w:r>
    </w:p>
    <w:p w14:paraId="75449BD6" w14:textId="77777777" w:rsidR="00F32F41" w:rsidRDefault="00000000">
      <w:pPr>
        <w:pStyle w:val="Paragraphedeliste"/>
        <w:numPr>
          <w:ilvl w:val="0"/>
          <w:numId w:val="2"/>
        </w:numPr>
        <w:spacing w:before="60" w:after="60"/>
      </w:pPr>
      <w:r>
        <w:rPr>
          <w:color w:val="2A2A2A"/>
        </w:rPr>
        <w:t>Ajustements correctifs documentés avant passage à la phase suivante.</w:t>
      </w:r>
    </w:p>
    <w:p w14:paraId="641B569B" w14:textId="77777777" w:rsidR="00F32F41" w:rsidRDefault="00000000">
      <w:pPr>
        <w:pStyle w:val="Paragraphedeliste"/>
        <w:numPr>
          <w:ilvl w:val="0"/>
          <w:numId w:val="2"/>
        </w:numPr>
        <w:spacing w:before="60" w:after="60"/>
      </w:pPr>
      <w:r>
        <w:rPr>
          <w:color w:val="2A2A2A"/>
        </w:rPr>
        <w:t>Valorisation publique des équipes pionnières ayant adopté et maîtrisé les nouveaux outils.</w:t>
      </w:r>
    </w:p>
    <w:p w14:paraId="07D65526" w14:textId="77777777" w:rsidR="00F32F41" w:rsidRDefault="00F32F41">
      <w:pPr>
        <w:spacing w:before="60" w:after="60"/>
      </w:pPr>
    </w:p>
    <w:p w14:paraId="448D484E" w14:textId="77777777" w:rsidR="00F32F41" w:rsidRDefault="00F32F41">
      <w:pPr>
        <w:spacing w:before="60" w:after="60"/>
      </w:pPr>
    </w:p>
    <w:p w14:paraId="7B1BA655" w14:textId="77777777" w:rsidR="00F32F41" w:rsidRDefault="00000000">
      <w:pPr>
        <w:pStyle w:val="Titre1"/>
        <w:pBdr>
          <w:bottom w:val="single" w:sz="12" w:space="6" w:color="1E2761"/>
        </w:pBdr>
      </w:pPr>
      <w:r>
        <w:t>4. Feuille de route progressive — 18 mois</w:t>
      </w:r>
    </w:p>
    <w:p w14:paraId="6EC90E73" w14:textId="77777777" w:rsidR="00F32F41" w:rsidRDefault="00000000">
      <w:pPr>
        <w:spacing w:before="80" w:after="80"/>
      </w:pPr>
      <w:r>
        <w:rPr>
          <w:color w:val="2A2A2A"/>
        </w:rPr>
        <w:t>La roadmap est découpée en 4 phases successives permettant une montée en charge progressive, avec des jalons de validation entre chaque étape.</w:t>
      </w:r>
    </w:p>
    <w:p w14:paraId="323C507B" w14:textId="77777777" w:rsidR="00F32F41" w:rsidRDefault="00F32F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32F41" w14:paraId="78F30689"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tcPr>
          <w:p w14:paraId="4EE85E84" w14:textId="77777777" w:rsidR="00F32F41" w:rsidRDefault="00000000">
            <w:pPr>
              <w:shd w:val="clear" w:color="auto" w:fill="1A7A4A"/>
            </w:pPr>
            <w:r>
              <w:rPr>
                <w:b/>
                <w:bCs/>
                <w:color w:val="FFFFFF"/>
                <w:sz w:val="18"/>
                <w:szCs w:val="18"/>
              </w:rPr>
              <w:t xml:space="preserve">Phase </w:t>
            </w:r>
            <w:proofErr w:type="gramStart"/>
            <w:r>
              <w:rPr>
                <w:b/>
                <w:bCs/>
                <w:color w:val="FFFFFF"/>
                <w:sz w:val="18"/>
                <w:szCs w:val="18"/>
              </w:rPr>
              <w:t>1  |</w:t>
            </w:r>
            <w:proofErr w:type="gramEnd"/>
            <w:r>
              <w:rPr>
                <w:b/>
                <w:bCs/>
                <w:color w:val="FFFFFF"/>
                <w:sz w:val="18"/>
                <w:szCs w:val="18"/>
              </w:rPr>
              <w:t xml:space="preserve">  M0 → M3</w:t>
            </w:r>
          </w:p>
          <w:p w14:paraId="437ED401" w14:textId="77777777" w:rsidR="00F32F41" w:rsidRDefault="00000000">
            <w:pPr>
              <w:spacing w:before="80" w:after="60"/>
            </w:pPr>
            <w:r>
              <w:rPr>
                <w:b/>
                <w:bCs/>
                <w:color w:val="1A7A4A"/>
              </w:rPr>
              <w:t xml:space="preserve">Quick </w:t>
            </w:r>
            <w:proofErr w:type="spellStart"/>
            <w:r>
              <w:rPr>
                <w:b/>
                <w:bCs/>
                <w:color w:val="1A7A4A"/>
              </w:rPr>
              <w:t>Wins</w:t>
            </w:r>
            <w:proofErr w:type="spellEnd"/>
            <w:r>
              <w:rPr>
                <w:b/>
                <w:bCs/>
                <w:color w:val="1A7A4A"/>
              </w:rPr>
              <w:t xml:space="preserve"> Prioritaires</w:t>
            </w:r>
          </w:p>
          <w:p w14:paraId="73981356" w14:textId="77777777" w:rsidR="00F32F41" w:rsidRDefault="00000000">
            <w:pPr>
              <w:pStyle w:val="Paragraphedeliste"/>
              <w:numPr>
                <w:ilvl w:val="0"/>
                <w:numId w:val="2"/>
              </w:numPr>
              <w:spacing w:before="40" w:after="40"/>
            </w:pPr>
            <w:r>
              <w:rPr>
                <w:color w:val="2A2A2A"/>
                <w:sz w:val="20"/>
                <w:szCs w:val="20"/>
              </w:rPr>
              <w:t>Identifiant unique agent</w:t>
            </w:r>
          </w:p>
          <w:p w14:paraId="2C2AB671" w14:textId="77777777" w:rsidR="00F32F41" w:rsidRDefault="00000000">
            <w:pPr>
              <w:pStyle w:val="Paragraphedeliste"/>
              <w:numPr>
                <w:ilvl w:val="0"/>
                <w:numId w:val="2"/>
              </w:numPr>
              <w:spacing w:before="40" w:after="40"/>
            </w:pPr>
            <w:r>
              <w:rPr>
                <w:color w:val="2A2A2A"/>
                <w:sz w:val="20"/>
                <w:szCs w:val="20"/>
              </w:rPr>
              <w:t>Tableau de bord RH simplifié</w:t>
            </w:r>
          </w:p>
          <w:p w14:paraId="7DA5CB9D" w14:textId="77777777" w:rsidR="00F32F41" w:rsidRDefault="00000000">
            <w:pPr>
              <w:pStyle w:val="Paragraphedeliste"/>
              <w:numPr>
                <w:ilvl w:val="0"/>
                <w:numId w:val="2"/>
              </w:numPr>
              <w:spacing w:before="40" w:after="40"/>
            </w:pPr>
            <w:r>
              <w:rPr>
                <w:color w:val="2A2A2A"/>
                <w:sz w:val="20"/>
                <w:szCs w:val="20"/>
              </w:rPr>
              <w:t>Digitalisation du courrier entrant</w:t>
            </w:r>
          </w:p>
          <w:p w14:paraId="5C813993" w14:textId="77777777" w:rsidR="00F32F41" w:rsidRDefault="00000000">
            <w:pPr>
              <w:spacing w:before="80" w:after="40"/>
            </w:pPr>
            <w:r>
              <w:rPr>
                <w:b/>
                <w:bCs/>
                <w:color w:val="6B7A99"/>
                <w:sz w:val="18"/>
                <w:szCs w:val="18"/>
              </w:rPr>
              <w:t xml:space="preserve">Objectif : </w:t>
            </w:r>
            <w:r>
              <w:rPr>
                <w:color w:val="6B7A99"/>
                <w:sz w:val="18"/>
                <w:szCs w:val="18"/>
              </w:rPr>
              <w:t>Créer des résultats visibles, installer la confiance</w:t>
            </w:r>
          </w:p>
        </w:tc>
        <w:tc>
          <w:tcPr>
            <w:tcW w:w="2340" w:type="dxa"/>
            <w:tcBorders>
              <w:top w:val="single" w:sz="2" w:space="0" w:color="CCCCCC"/>
              <w:left w:val="single" w:sz="2" w:space="0" w:color="CCCCCC"/>
              <w:bottom w:val="single" w:sz="2" w:space="0" w:color="CCCCCC"/>
              <w:right w:val="single" w:sz="2" w:space="0" w:color="CCCCCC"/>
            </w:tcBorders>
          </w:tcPr>
          <w:p w14:paraId="648A99D6" w14:textId="77777777" w:rsidR="00F32F41" w:rsidRDefault="00000000">
            <w:pPr>
              <w:shd w:val="clear" w:color="auto" w:fill="4472C4"/>
            </w:pPr>
            <w:r>
              <w:rPr>
                <w:b/>
                <w:bCs/>
                <w:color w:val="FFFFFF"/>
                <w:sz w:val="18"/>
                <w:szCs w:val="18"/>
              </w:rPr>
              <w:t xml:space="preserve">Phase </w:t>
            </w:r>
            <w:proofErr w:type="gramStart"/>
            <w:r>
              <w:rPr>
                <w:b/>
                <w:bCs/>
                <w:color w:val="FFFFFF"/>
                <w:sz w:val="18"/>
                <w:szCs w:val="18"/>
              </w:rPr>
              <w:t>2  |</w:t>
            </w:r>
            <w:proofErr w:type="gramEnd"/>
            <w:r>
              <w:rPr>
                <w:b/>
                <w:bCs/>
                <w:color w:val="FFFFFF"/>
                <w:sz w:val="18"/>
                <w:szCs w:val="18"/>
              </w:rPr>
              <w:t xml:space="preserve">  M4 → M8</w:t>
            </w:r>
          </w:p>
          <w:p w14:paraId="343C93FD" w14:textId="77777777" w:rsidR="00F32F41" w:rsidRDefault="00000000">
            <w:pPr>
              <w:spacing w:before="80" w:after="60"/>
            </w:pPr>
            <w:r>
              <w:rPr>
                <w:b/>
                <w:bCs/>
                <w:color w:val="4472C4"/>
              </w:rPr>
              <w:t>Stabilisation</w:t>
            </w:r>
          </w:p>
          <w:p w14:paraId="1306244F" w14:textId="77777777" w:rsidR="00F32F41" w:rsidRDefault="00000000">
            <w:pPr>
              <w:pStyle w:val="Paragraphedeliste"/>
              <w:numPr>
                <w:ilvl w:val="0"/>
                <w:numId w:val="2"/>
              </w:numPr>
              <w:spacing w:before="40" w:after="40"/>
            </w:pPr>
            <w:r>
              <w:rPr>
                <w:color w:val="2A2A2A"/>
                <w:sz w:val="20"/>
                <w:szCs w:val="20"/>
              </w:rPr>
              <w:t>Workflow congés numérique</w:t>
            </w:r>
          </w:p>
          <w:p w14:paraId="6DABA48B" w14:textId="77777777" w:rsidR="00F32F41" w:rsidRDefault="00000000">
            <w:pPr>
              <w:pStyle w:val="Paragraphedeliste"/>
              <w:numPr>
                <w:ilvl w:val="0"/>
                <w:numId w:val="2"/>
              </w:numPr>
              <w:spacing w:before="40" w:after="40"/>
            </w:pPr>
            <w:r>
              <w:rPr>
                <w:color w:val="2A2A2A"/>
                <w:sz w:val="20"/>
                <w:szCs w:val="20"/>
              </w:rPr>
              <w:t>Centralisation données budgétaires</w:t>
            </w:r>
          </w:p>
          <w:p w14:paraId="6CD44B06" w14:textId="77777777" w:rsidR="00F32F41" w:rsidRDefault="00000000">
            <w:pPr>
              <w:pStyle w:val="Paragraphedeliste"/>
              <w:numPr>
                <w:ilvl w:val="0"/>
                <w:numId w:val="2"/>
              </w:numPr>
              <w:spacing w:before="40" w:after="40"/>
            </w:pPr>
            <w:r>
              <w:rPr>
                <w:color w:val="2A2A2A"/>
                <w:sz w:val="20"/>
                <w:szCs w:val="20"/>
              </w:rPr>
              <w:t>Formation vague 1</w:t>
            </w:r>
          </w:p>
          <w:p w14:paraId="274F1FFD" w14:textId="77777777" w:rsidR="00F32F41" w:rsidRDefault="00000000">
            <w:pPr>
              <w:pStyle w:val="Paragraphedeliste"/>
              <w:numPr>
                <w:ilvl w:val="0"/>
                <w:numId w:val="2"/>
              </w:numPr>
              <w:spacing w:before="40" w:after="40"/>
            </w:pPr>
            <w:r>
              <w:rPr>
                <w:color w:val="2A2A2A"/>
                <w:sz w:val="20"/>
                <w:szCs w:val="20"/>
              </w:rPr>
              <w:t>Bilan et correctifs Phase 1</w:t>
            </w:r>
          </w:p>
          <w:p w14:paraId="218AFBA9" w14:textId="77777777" w:rsidR="00F32F41" w:rsidRDefault="00000000">
            <w:pPr>
              <w:spacing w:before="80" w:after="40"/>
            </w:pPr>
            <w:r>
              <w:rPr>
                <w:b/>
                <w:bCs/>
                <w:color w:val="6B7A99"/>
                <w:sz w:val="18"/>
                <w:szCs w:val="18"/>
              </w:rPr>
              <w:t xml:space="preserve">Objectif : </w:t>
            </w:r>
            <w:r>
              <w:rPr>
                <w:color w:val="6B7A99"/>
                <w:sz w:val="18"/>
                <w:szCs w:val="18"/>
              </w:rPr>
              <w:t>Consolider les acquis, corriger les écarts</w:t>
            </w:r>
          </w:p>
        </w:tc>
        <w:tc>
          <w:tcPr>
            <w:tcW w:w="2340" w:type="dxa"/>
            <w:tcBorders>
              <w:top w:val="single" w:sz="2" w:space="0" w:color="CCCCCC"/>
              <w:left w:val="single" w:sz="2" w:space="0" w:color="CCCCCC"/>
              <w:bottom w:val="single" w:sz="2" w:space="0" w:color="CCCCCC"/>
              <w:right w:val="single" w:sz="2" w:space="0" w:color="CCCCCC"/>
            </w:tcBorders>
          </w:tcPr>
          <w:p w14:paraId="6BE5588F" w14:textId="77777777" w:rsidR="00F32F41" w:rsidRDefault="00000000">
            <w:pPr>
              <w:shd w:val="clear" w:color="auto" w:fill="E8A838"/>
            </w:pPr>
            <w:r>
              <w:rPr>
                <w:b/>
                <w:bCs/>
                <w:color w:val="FFFFFF"/>
                <w:sz w:val="18"/>
                <w:szCs w:val="18"/>
              </w:rPr>
              <w:t xml:space="preserve">Phase </w:t>
            </w:r>
            <w:proofErr w:type="gramStart"/>
            <w:r>
              <w:rPr>
                <w:b/>
                <w:bCs/>
                <w:color w:val="FFFFFF"/>
                <w:sz w:val="18"/>
                <w:szCs w:val="18"/>
              </w:rPr>
              <w:t>3  |</w:t>
            </w:r>
            <w:proofErr w:type="gramEnd"/>
            <w:r>
              <w:rPr>
                <w:b/>
                <w:bCs/>
                <w:color w:val="FFFFFF"/>
                <w:sz w:val="18"/>
                <w:szCs w:val="18"/>
              </w:rPr>
              <w:t xml:space="preserve">  M9 → M14</w:t>
            </w:r>
          </w:p>
          <w:p w14:paraId="588361CE" w14:textId="77777777" w:rsidR="00F32F41" w:rsidRDefault="00000000">
            <w:pPr>
              <w:spacing w:before="80" w:after="60"/>
            </w:pPr>
            <w:r>
              <w:rPr>
                <w:b/>
                <w:bCs/>
                <w:color w:val="E8A838"/>
              </w:rPr>
              <w:t>Extension Fonctionnelle</w:t>
            </w:r>
          </w:p>
          <w:p w14:paraId="434BFF6A" w14:textId="77777777" w:rsidR="00F32F41" w:rsidRDefault="00000000">
            <w:pPr>
              <w:pStyle w:val="Paragraphedeliste"/>
              <w:numPr>
                <w:ilvl w:val="0"/>
                <w:numId w:val="2"/>
              </w:numPr>
              <w:spacing w:before="40" w:after="40"/>
            </w:pPr>
            <w:r>
              <w:rPr>
                <w:color w:val="2A2A2A"/>
                <w:sz w:val="20"/>
                <w:szCs w:val="20"/>
              </w:rPr>
              <w:t>Déploiement SIRH complet</w:t>
            </w:r>
          </w:p>
          <w:p w14:paraId="55926EB5" w14:textId="77777777" w:rsidR="00F32F41" w:rsidRDefault="00000000">
            <w:pPr>
              <w:pStyle w:val="Paragraphedeliste"/>
              <w:numPr>
                <w:ilvl w:val="0"/>
                <w:numId w:val="2"/>
              </w:numPr>
              <w:spacing w:before="40" w:after="40"/>
            </w:pPr>
            <w:r>
              <w:rPr>
                <w:color w:val="2A2A2A"/>
                <w:sz w:val="20"/>
                <w:szCs w:val="20"/>
              </w:rPr>
              <w:t>GED par direction</w:t>
            </w:r>
          </w:p>
          <w:p w14:paraId="6DADF07D" w14:textId="77777777" w:rsidR="00F32F41" w:rsidRDefault="00000000">
            <w:pPr>
              <w:pStyle w:val="Paragraphedeliste"/>
              <w:numPr>
                <w:ilvl w:val="0"/>
                <w:numId w:val="2"/>
              </w:numPr>
              <w:spacing w:before="40" w:after="40"/>
            </w:pPr>
            <w:r>
              <w:rPr>
                <w:color w:val="2A2A2A"/>
                <w:sz w:val="20"/>
                <w:szCs w:val="20"/>
              </w:rPr>
              <w:t>Plateforme projets pilote</w:t>
            </w:r>
          </w:p>
          <w:p w14:paraId="44EFEA57" w14:textId="77777777" w:rsidR="00F32F41" w:rsidRDefault="00000000">
            <w:pPr>
              <w:spacing w:before="80" w:after="40"/>
            </w:pPr>
            <w:r>
              <w:rPr>
                <w:b/>
                <w:bCs/>
                <w:color w:val="6B7A99"/>
                <w:sz w:val="18"/>
                <w:szCs w:val="18"/>
              </w:rPr>
              <w:t xml:space="preserve">Objectif : </w:t>
            </w:r>
            <w:r>
              <w:rPr>
                <w:color w:val="6B7A99"/>
                <w:sz w:val="18"/>
                <w:szCs w:val="18"/>
              </w:rPr>
              <w:t>Monter en puissance sur les systèmes structurants</w:t>
            </w:r>
          </w:p>
        </w:tc>
        <w:tc>
          <w:tcPr>
            <w:tcW w:w="2340" w:type="dxa"/>
            <w:tcBorders>
              <w:top w:val="single" w:sz="2" w:space="0" w:color="CCCCCC"/>
              <w:left w:val="single" w:sz="2" w:space="0" w:color="CCCCCC"/>
              <w:bottom w:val="single" w:sz="2" w:space="0" w:color="CCCCCC"/>
              <w:right w:val="single" w:sz="2" w:space="0" w:color="CCCCCC"/>
            </w:tcBorders>
          </w:tcPr>
          <w:p w14:paraId="42FDDA0E" w14:textId="77777777" w:rsidR="00F32F41" w:rsidRDefault="00000000">
            <w:pPr>
              <w:shd w:val="clear" w:color="auto" w:fill="1E2761"/>
            </w:pPr>
            <w:r>
              <w:rPr>
                <w:b/>
                <w:bCs/>
                <w:color w:val="FFFFFF"/>
                <w:sz w:val="18"/>
                <w:szCs w:val="18"/>
              </w:rPr>
              <w:t xml:space="preserve">Phase </w:t>
            </w:r>
            <w:proofErr w:type="gramStart"/>
            <w:r>
              <w:rPr>
                <w:b/>
                <w:bCs/>
                <w:color w:val="FFFFFF"/>
                <w:sz w:val="18"/>
                <w:szCs w:val="18"/>
              </w:rPr>
              <w:t>4  |</w:t>
            </w:r>
            <w:proofErr w:type="gramEnd"/>
            <w:r>
              <w:rPr>
                <w:b/>
                <w:bCs/>
                <w:color w:val="FFFFFF"/>
                <w:sz w:val="18"/>
                <w:szCs w:val="18"/>
              </w:rPr>
              <w:t xml:space="preserve">  M15 → M18</w:t>
            </w:r>
          </w:p>
          <w:p w14:paraId="1FA32BBF" w14:textId="77777777" w:rsidR="00F32F41" w:rsidRDefault="00000000">
            <w:pPr>
              <w:spacing w:before="80" w:after="60"/>
            </w:pPr>
            <w:r>
              <w:rPr>
                <w:b/>
                <w:bCs/>
                <w:color w:val="1E2761"/>
              </w:rPr>
              <w:t>Harmonisation Globale</w:t>
            </w:r>
          </w:p>
          <w:p w14:paraId="51D1FE00" w14:textId="77777777" w:rsidR="00F32F41" w:rsidRDefault="00000000">
            <w:pPr>
              <w:pStyle w:val="Paragraphedeliste"/>
              <w:numPr>
                <w:ilvl w:val="0"/>
                <w:numId w:val="2"/>
              </w:numPr>
              <w:spacing w:before="40" w:after="40"/>
            </w:pPr>
            <w:r>
              <w:rPr>
                <w:color w:val="2A2A2A"/>
                <w:sz w:val="20"/>
                <w:szCs w:val="20"/>
              </w:rPr>
              <w:t>Intégration complète du SI</w:t>
            </w:r>
          </w:p>
          <w:p w14:paraId="000A2803" w14:textId="77777777" w:rsidR="00F32F41" w:rsidRDefault="00000000">
            <w:pPr>
              <w:pStyle w:val="Paragraphedeliste"/>
              <w:numPr>
                <w:ilvl w:val="0"/>
                <w:numId w:val="2"/>
              </w:numPr>
              <w:spacing w:before="40" w:after="40"/>
            </w:pPr>
            <w:r>
              <w:rPr>
                <w:color w:val="2A2A2A"/>
                <w:sz w:val="20"/>
                <w:szCs w:val="20"/>
              </w:rPr>
              <w:t>Portail unique agent</w:t>
            </w:r>
          </w:p>
          <w:p w14:paraId="20AD9EAF" w14:textId="77777777" w:rsidR="00F32F41" w:rsidRDefault="00000000">
            <w:pPr>
              <w:pStyle w:val="Paragraphedeliste"/>
              <w:numPr>
                <w:ilvl w:val="0"/>
                <w:numId w:val="2"/>
              </w:numPr>
              <w:spacing w:before="40" w:after="40"/>
            </w:pPr>
            <w:r>
              <w:rPr>
                <w:color w:val="2A2A2A"/>
                <w:sz w:val="20"/>
                <w:szCs w:val="20"/>
              </w:rPr>
              <w:t>Bilan global &amp; roadmap N+2</w:t>
            </w:r>
          </w:p>
          <w:p w14:paraId="3FAD5DC4" w14:textId="77777777" w:rsidR="00F32F41" w:rsidRDefault="00000000">
            <w:pPr>
              <w:spacing w:before="80" w:after="40"/>
            </w:pPr>
            <w:r>
              <w:rPr>
                <w:b/>
                <w:bCs/>
                <w:color w:val="6B7A99"/>
                <w:sz w:val="18"/>
                <w:szCs w:val="18"/>
              </w:rPr>
              <w:t xml:space="preserve">Objectif : </w:t>
            </w:r>
            <w:r>
              <w:rPr>
                <w:color w:val="6B7A99"/>
                <w:sz w:val="18"/>
                <w:szCs w:val="18"/>
              </w:rPr>
              <w:t>Atteindre la cible initiale de manière maîtrisée</w:t>
            </w:r>
          </w:p>
        </w:tc>
      </w:tr>
    </w:tbl>
    <w:p w14:paraId="1E4EA9E9" w14:textId="77777777" w:rsidR="00F32F41" w:rsidRDefault="00F32F41">
      <w:pPr>
        <w:spacing w:before="60" w:after="60"/>
      </w:pPr>
    </w:p>
    <w:p w14:paraId="78DF3BFA" w14:textId="77777777" w:rsidR="00F32F41" w:rsidRDefault="00000000">
      <w:pPr>
        <w:pStyle w:val="Titre1"/>
        <w:pBdr>
          <w:bottom w:val="single" w:sz="12" w:space="6" w:color="1E2761"/>
        </w:pBdr>
      </w:pPr>
      <w:r>
        <w:t>5. Recommandation stratégique finale</w:t>
      </w:r>
    </w:p>
    <w:p w14:paraId="270CE354" w14:textId="6B8828E1" w:rsidR="00F32F41" w:rsidRDefault="00000000">
      <w:pPr>
        <w:shd w:val="clear" w:color="auto" w:fill="1A7A4A"/>
        <w:spacing w:before="100" w:after="120"/>
        <w:jc w:val="center"/>
      </w:pPr>
      <w:r>
        <w:rPr>
          <w:b/>
          <w:bCs/>
          <w:color w:val="FFFFFF"/>
          <w:sz w:val="26"/>
          <w:szCs w:val="26"/>
        </w:rPr>
        <w:t xml:space="preserve">Recommandation : Approche Progressive — Quick </w:t>
      </w:r>
      <w:proofErr w:type="spellStart"/>
      <w:r>
        <w:rPr>
          <w:b/>
          <w:bCs/>
          <w:color w:val="FFFFFF"/>
          <w:sz w:val="26"/>
          <w:szCs w:val="26"/>
        </w:rPr>
        <w:t>Wins</w:t>
      </w:r>
      <w:proofErr w:type="spellEnd"/>
    </w:p>
    <w:p w14:paraId="3479CA95" w14:textId="77777777" w:rsidR="00F32F41" w:rsidRDefault="00F32F41">
      <w:pPr>
        <w:spacing w:before="60" w:after="60"/>
      </w:pPr>
    </w:p>
    <w:p w14:paraId="3F5D9164" w14:textId="77777777" w:rsidR="00F32F41" w:rsidRDefault="00000000">
      <w:pPr>
        <w:spacing w:before="80" w:after="80"/>
      </w:pPr>
      <w:r>
        <w:rPr>
          <w:color w:val="2A2A2A"/>
        </w:rPr>
        <w:t>Le projet Big Bang est séduisant dans sa logique de rupture, mais il concentre tous les risques au même moment : résistance humaine, pression budgétaire, complexité technique et délais contraints. Dans un contexte ministériel, où la continuité du service public est non négociable, un échec partiel peut avoir des conséquences institutionnelles graves.</w:t>
      </w:r>
    </w:p>
    <w:p w14:paraId="039F8C50" w14:textId="77777777" w:rsidR="00F32F41" w:rsidRDefault="00000000">
      <w:pPr>
        <w:spacing w:before="80" w:after="80"/>
      </w:pPr>
      <w:r>
        <w:rPr>
          <w:color w:val="2A2A2A"/>
        </w:rPr>
        <w:t>L'approche progressive repose sur une logique de preuve et d'apprentissage. Elle atteint la même cible finale — un SI intégré, des processus numérisés, une direction pilotée par les données — mais de manière durable, avec les agents, et non malgré eux. Quatre arguments décisifs justifient ce choix :</w:t>
      </w:r>
    </w:p>
    <w:p w14:paraId="338CBF4C" w14:textId="77777777" w:rsidR="00F32F41" w:rsidRDefault="00000000">
      <w:pPr>
        <w:pStyle w:val="Titre2"/>
      </w:pPr>
      <w:r>
        <w:rPr>
          <w:color w:val="C0392B"/>
        </w:rPr>
        <w:t>Réduction des risques</w:t>
      </w:r>
    </w:p>
    <w:p w14:paraId="39939C2E" w14:textId="77777777" w:rsidR="00F32F41" w:rsidRDefault="00000000">
      <w:pPr>
        <w:spacing w:before="80" w:after="80"/>
        <w:rPr>
          <w:color w:val="2A2A2A"/>
        </w:rPr>
      </w:pPr>
      <w:r>
        <w:rPr>
          <w:color w:val="2A2A2A"/>
        </w:rPr>
        <w:t>Chaque phase est indépendante. Un problème sur un module ne bloque pas l'ensemble du programme. Les risques sont fractionnés et donc maîtrisables, contrairement au Big Bang où l'échec d'un module entraîne l'échec global.</w:t>
      </w:r>
    </w:p>
    <w:p w14:paraId="35B752D1" w14:textId="77777777" w:rsidR="00A26F1D" w:rsidRDefault="00A26F1D">
      <w:pPr>
        <w:spacing w:before="80" w:after="80"/>
        <w:rPr>
          <w:color w:val="2A2A2A"/>
        </w:rPr>
      </w:pPr>
    </w:p>
    <w:p w14:paraId="38C3EC63" w14:textId="77777777" w:rsidR="00A26F1D" w:rsidRDefault="00A26F1D">
      <w:pPr>
        <w:spacing w:before="80" w:after="80"/>
      </w:pPr>
    </w:p>
    <w:p w14:paraId="6F51DA65" w14:textId="77777777" w:rsidR="00F32F41" w:rsidRDefault="00000000">
      <w:pPr>
        <w:pStyle w:val="Titre2"/>
      </w:pPr>
      <w:r>
        <w:rPr>
          <w:color w:val="1A7A4A"/>
        </w:rPr>
        <w:lastRenderedPageBreak/>
        <w:t>Meilleure adoption</w:t>
      </w:r>
    </w:p>
    <w:p w14:paraId="32345A4A" w14:textId="77777777" w:rsidR="00F32F41" w:rsidRDefault="00000000">
      <w:pPr>
        <w:spacing w:before="80" w:after="80"/>
      </w:pPr>
      <w:r>
        <w:rPr>
          <w:color w:val="2A2A2A"/>
        </w:rPr>
        <w:t xml:space="preserve">Les agents s'adaptent progressivement, sans être submergés. Les Quick </w:t>
      </w:r>
      <w:proofErr w:type="spellStart"/>
      <w:r>
        <w:rPr>
          <w:color w:val="2A2A2A"/>
        </w:rPr>
        <w:t>Wins</w:t>
      </w:r>
      <w:proofErr w:type="spellEnd"/>
      <w:r>
        <w:rPr>
          <w:color w:val="2A2A2A"/>
        </w:rPr>
        <w:t xml:space="preserve"> créent des preuves concrètes du changement et génèrent l'adhésion là où le discours seul échouerait. La confiance se construit phase par phase, ce qui pérennise les acquis.</w:t>
      </w:r>
    </w:p>
    <w:p w14:paraId="1D789DA1" w14:textId="77777777" w:rsidR="00F32F41" w:rsidRDefault="00F32F41">
      <w:pPr>
        <w:spacing w:before="60" w:after="60"/>
      </w:pPr>
    </w:p>
    <w:p w14:paraId="3743EDAD" w14:textId="77777777" w:rsidR="00F32F41" w:rsidRDefault="00000000">
      <w:pPr>
        <w:pStyle w:val="Titre2"/>
      </w:pPr>
      <w:r>
        <w:rPr>
          <w:color w:val="4472C4"/>
        </w:rPr>
        <w:t>Maîtrise budgétaire</w:t>
      </w:r>
    </w:p>
    <w:p w14:paraId="4401C490" w14:textId="77777777" w:rsidR="00F32F41" w:rsidRDefault="00000000">
      <w:pPr>
        <w:spacing w:before="80" w:after="80"/>
      </w:pPr>
      <w:r>
        <w:rPr>
          <w:color w:val="2A2A2A"/>
        </w:rPr>
        <w:t>Les investissements sont validés étape par étape, ce qui permet des ajustements en cours de route et évite les dérives de coût. Chaque phase est justifiable et chiffrable indépendamment, ce qui facilite les arbitrages budgétaires annuels du ministère.</w:t>
      </w:r>
    </w:p>
    <w:p w14:paraId="12DEA36E" w14:textId="77777777" w:rsidR="00F32F41" w:rsidRDefault="00F32F41">
      <w:pPr>
        <w:spacing w:before="60" w:after="60"/>
      </w:pPr>
    </w:p>
    <w:p w14:paraId="023061A5" w14:textId="77777777" w:rsidR="00F32F41" w:rsidRDefault="00000000">
      <w:pPr>
        <w:pStyle w:val="Titre2"/>
      </w:pPr>
      <w:r>
        <w:rPr>
          <w:color w:val="E8A838"/>
        </w:rPr>
        <w:t>Apprentissage organisationnel</w:t>
      </w:r>
    </w:p>
    <w:p w14:paraId="151EB0A4" w14:textId="77777777" w:rsidR="00F32F41" w:rsidRDefault="00000000">
      <w:pPr>
        <w:spacing w:before="80" w:after="80"/>
      </w:pPr>
      <w:r>
        <w:rPr>
          <w:color w:val="2A2A2A"/>
        </w:rPr>
        <w:t>L'organisation monte en maturité digitale à chaque phase, en capitalisant sur ses propres succès plutôt qu'en subissant un choc global. Les équipes deviennent progressivement autonomes et actrices du changement, ce qui garantit la durabilité de la transformation.</w:t>
      </w:r>
    </w:p>
    <w:p w14:paraId="556B31CF" w14:textId="77777777" w:rsidR="00F32F41" w:rsidRDefault="00F32F41">
      <w:pPr>
        <w:spacing w:before="60" w:after="60"/>
      </w:pPr>
    </w:p>
    <w:p w14:paraId="0C62C5D1" w14:textId="77777777" w:rsidR="00F32F41" w:rsidRDefault="00000000">
      <w:pPr>
        <w:pBdr>
          <w:top w:val="single" w:sz="6" w:space="6" w:color="E8A838"/>
          <w:bottom w:val="single" w:sz="6" w:space="6" w:color="E8A838"/>
        </w:pBdr>
        <w:spacing w:before="160" w:after="80"/>
        <w:jc w:val="center"/>
      </w:pPr>
      <w:r>
        <w:rPr>
          <w:rFonts w:ascii="Georgia" w:eastAsia="Georgia" w:hAnsi="Georgia" w:cs="Georgia"/>
          <w:color w:val="1E2761"/>
          <w:sz w:val="24"/>
          <w:szCs w:val="24"/>
        </w:rPr>
        <w:t>"Penser grand, commencer petit, aller vite."</w:t>
      </w:r>
    </w:p>
    <w:p w14:paraId="444BA0D1" w14:textId="77777777" w:rsidR="00F32F41" w:rsidRDefault="00F32F41">
      <w:pPr>
        <w:spacing w:before="60" w:after="60"/>
      </w:pPr>
    </w:p>
    <w:sectPr w:rsidR="00F32F41">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21304" w14:textId="77777777" w:rsidR="00445EA1" w:rsidRDefault="00445EA1">
      <w:r>
        <w:separator/>
      </w:r>
    </w:p>
  </w:endnote>
  <w:endnote w:type="continuationSeparator" w:id="0">
    <w:p w14:paraId="7DAD8C09" w14:textId="77777777" w:rsidR="00445EA1" w:rsidRDefault="00445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AE6D" w14:textId="087AD74F" w:rsidR="00F32F41" w:rsidRDefault="0075546F">
    <w:pPr>
      <w:pBdr>
        <w:top w:val="single" w:sz="6" w:space="4" w:color="E8A838"/>
      </w:pBdr>
      <w:tabs>
        <w:tab w:val="right" w:pos="9026"/>
      </w:tabs>
      <w:spacing w:before="60"/>
    </w:pPr>
    <w:r>
      <w:rPr>
        <w:color w:val="6B7A99"/>
        <w:sz w:val="16"/>
        <w:szCs w:val="16"/>
      </w:rPr>
      <w:t>Bachir</w:t>
    </w:r>
    <w:r w:rsidR="00000000">
      <w:rPr>
        <w:color w:val="6B7A99"/>
        <w:sz w:val="16"/>
        <w:szCs w:val="16"/>
      </w:rPr>
      <w:tab/>
      <w:t xml:space="preserve">Page </w:t>
    </w:r>
    <w:r w:rsidR="00000000">
      <w:fldChar w:fldCharType="begin"/>
    </w:r>
    <w:r w:rsidR="00000000">
      <w:instrText>PAGE</w:instrText>
    </w:r>
    <w:r w:rsidR="00000000">
      <w:fldChar w:fldCharType="separate"/>
    </w:r>
    <w:r w:rsidR="00824526">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558B5" w14:textId="77777777" w:rsidR="00445EA1" w:rsidRDefault="00445EA1">
      <w:r>
        <w:separator/>
      </w:r>
    </w:p>
  </w:footnote>
  <w:footnote w:type="continuationSeparator" w:id="0">
    <w:p w14:paraId="3C9AB7E2" w14:textId="77777777" w:rsidR="00445EA1" w:rsidRDefault="00445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9420C"/>
    <w:multiLevelType w:val="hybridMultilevel"/>
    <w:tmpl w:val="4E06A8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4A17AE7"/>
    <w:multiLevelType w:val="hybridMultilevel"/>
    <w:tmpl w:val="2E90A68A"/>
    <w:lvl w:ilvl="0" w:tplc="9DAEB900">
      <w:start w:val="1"/>
      <w:numFmt w:val="bullet"/>
      <w:lvlText w:val="●"/>
      <w:lvlJc w:val="left"/>
      <w:pPr>
        <w:ind w:left="720" w:hanging="360"/>
      </w:pPr>
    </w:lvl>
    <w:lvl w:ilvl="1" w:tplc="CFEAF5D0">
      <w:start w:val="1"/>
      <w:numFmt w:val="bullet"/>
      <w:lvlText w:val="○"/>
      <w:lvlJc w:val="left"/>
      <w:pPr>
        <w:ind w:left="1440" w:hanging="360"/>
      </w:pPr>
    </w:lvl>
    <w:lvl w:ilvl="2" w:tplc="AC6C3168">
      <w:start w:val="1"/>
      <w:numFmt w:val="bullet"/>
      <w:lvlText w:val="■"/>
      <w:lvlJc w:val="left"/>
      <w:pPr>
        <w:ind w:left="2160" w:hanging="360"/>
      </w:pPr>
    </w:lvl>
    <w:lvl w:ilvl="3" w:tplc="D76E3E96">
      <w:start w:val="1"/>
      <w:numFmt w:val="bullet"/>
      <w:lvlText w:val="●"/>
      <w:lvlJc w:val="left"/>
      <w:pPr>
        <w:ind w:left="2880" w:hanging="360"/>
      </w:pPr>
    </w:lvl>
    <w:lvl w:ilvl="4" w:tplc="52A2AA40">
      <w:start w:val="1"/>
      <w:numFmt w:val="bullet"/>
      <w:lvlText w:val="○"/>
      <w:lvlJc w:val="left"/>
      <w:pPr>
        <w:ind w:left="3600" w:hanging="360"/>
      </w:pPr>
    </w:lvl>
    <w:lvl w:ilvl="5" w:tplc="DE82BB90">
      <w:start w:val="1"/>
      <w:numFmt w:val="bullet"/>
      <w:lvlText w:val="■"/>
      <w:lvlJc w:val="left"/>
      <w:pPr>
        <w:ind w:left="4320" w:hanging="360"/>
      </w:pPr>
    </w:lvl>
    <w:lvl w:ilvl="6" w:tplc="321E2BF6">
      <w:start w:val="1"/>
      <w:numFmt w:val="bullet"/>
      <w:lvlText w:val="●"/>
      <w:lvlJc w:val="left"/>
      <w:pPr>
        <w:ind w:left="5040" w:hanging="360"/>
      </w:pPr>
    </w:lvl>
    <w:lvl w:ilvl="7" w:tplc="EC4CD4D4">
      <w:start w:val="1"/>
      <w:numFmt w:val="bullet"/>
      <w:lvlText w:val="●"/>
      <w:lvlJc w:val="left"/>
      <w:pPr>
        <w:ind w:left="5760" w:hanging="360"/>
      </w:pPr>
    </w:lvl>
    <w:lvl w:ilvl="8" w:tplc="5A18BC00">
      <w:start w:val="1"/>
      <w:numFmt w:val="bullet"/>
      <w:lvlText w:val="●"/>
      <w:lvlJc w:val="left"/>
      <w:pPr>
        <w:ind w:left="6480" w:hanging="360"/>
      </w:pPr>
    </w:lvl>
  </w:abstractNum>
  <w:abstractNum w:abstractNumId="2" w15:restartNumberingAfterBreak="0">
    <w:nsid w:val="6CDE5C97"/>
    <w:multiLevelType w:val="hybridMultilevel"/>
    <w:tmpl w:val="C4544B3C"/>
    <w:lvl w:ilvl="0" w:tplc="CE32D35A">
      <w:start w:val="1"/>
      <w:numFmt w:val="bullet"/>
      <w:lvlText w:val="•"/>
      <w:lvlJc w:val="left"/>
      <w:pPr>
        <w:ind w:left="720" w:hanging="360"/>
      </w:pPr>
    </w:lvl>
    <w:lvl w:ilvl="1" w:tplc="CBE6DE90">
      <w:numFmt w:val="decimal"/>
      <w:lvlText w:val=""/>
      <w:lvlJc w:val="left"/>
    </w:lvl>
    <w:lvl w:ilvl="2" w:tplc="C7C6A0F0">
      <w:numFmt w:val="decimal"/>
      <w:lvlText w:val=""/>
      <w:lvlJc w:val="left"/>
    </w:lvl>
    <w:lvl w:ilvl="3" w:tplc="94560F10">
      <w:numFmt w:val="decimal"/>
      <w:lvlText w:val=""/>
      <w:lvlJc w:val="left"/>
    </w:lvl>
    <w:lvl w:ilvl="4" w:tplc="2EFAA886">
      <w:numFmt w:val="decimal"/>
      <w:lvlText w:val=""/>
      <w:lvlJc w:val="left"/>
    </w:lvl>
    <w:lvl w:ilvl="5" w:tplc="C10A31E0">
      <w:numFmt w:val="decimal"/>
      <w:lvlText w:val=""/>
      <w:lvlJc w:val="left"/>
    </w:lvl>
    <w:lvl w:ilvl="6" w:tplc="EAD45CF6">
      <w:numFmt w:val="decimal"/>
      <w:lvlText w:val=""/>
      <w:lvlJc w:val="left"/>
    </w:lvl>
    <w:lvl w:ilvl="7" w:tplc="9E940F20">
      <w:numFmt w:val="decimal"/>
      <w:lvlText w:val=""/>
      <w:lvlJc w:val="left"/>
    </w:lvl>
    <w:lvl w:ilvl="8" w:tplc="7F94D70C">
      <w:numFmt w:val="decimal"/>
      <w:lvlText w:val=""/>
      <w:lvlJc w:val="left"/>
    </w:lvl>
  </w:abstractNum>
  <w:num w:numId="1" w16cid:durableId="1867867518">
    <w:abstractNumId w:val="1"/>
    <w:lvlOverride w:ilvl="0">
      <w:startOverride w:val="1"/>
    </w:lvlOverride>
  </w:num>
  <w:num w:numId="2" w16cid:durableId="872426689">
    <w:abstractNumId w:val="2"/>
    <w:lvlOverride w:ilvl="0">
      <w:startOverride w:val="1"/>
    </w:lvlOverride>
  </w:num>
  <w:num w:numId="3" w16cid:durableId="1350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F41"/>
    <w:rsid w:val="00445EA1"/>
    <w:rsid w:val="0075546F"/>
    <w:rsid w:val="00824526"/>
    <w:rsid w:val="008C1323"/>
    <w:rsid w:val="00A26F1D"/>
    <w:rsid w:val="00F32F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98D6"/>
  <w15:docId w15:val="{4EDEB5CB-FCCA-422B-9A4F-4610B4D0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E2761"/>
      <w:sz w:val="32"/>
      <w:szCs w:val="32"/>
    </w:rPr>
  </w:style>
  <w:style w:type="paragraph" w:styleId="Titre2">
    <w:name w:val="heading 2"/>
    <w:uiPriority w:val="9"/>
    <w:unhideWhenUsed/>
    <w:qFormat/>
    <w:pPr>
      <w:spacing w:before="280" w:after="100"/>
      <w:outlineLvl w:val="1"/>
    </w:pPr>
    <w:rPr>
      <w:b/>
      <w:bCs/>
      <w:color w:val="1E2761"/>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824526"/>
    <w:pPr>
      <w:tabs>
        <w:tab w:val="center" w:pos="4536"/>
        <w:tab w:val="right" w:pos="9072"/>
      </w:tabs>
    </w:pPr>
  </w:style>
  <w:style w:type="character" w:customStyle="1" w:styleId="En-tteCar">
    <w:name w:val="En-tête Car"/>
    <w:basedOn w:val="Policepardfaut"/>
    <w:link w:val="En-tte"/>
    <w:uiPriority w:val="99"/>
    <w:rsid w:val="00824526"/>
  </w:style>
  <w:style w:type="paragraph" w:styleId="Pieddepage">
    <w:name w:val="footer"/>
    <w:basedOn w:val="Normal"/>
    <w:link w:val="PieddepageCar"/>
    <w:uiPriority w:val="99"/>
    <w:unhideWhenUsed/>
    <w:rsid w:val="00824526"/>
    <w:pPr>
      <w:tabs>
        <w:tab w:val="center" w:pos="4536"/>
        <w:tab w:val="right" w:pos="9072"/>
      </w:tabs>
    </w:pPr>
  </w:style>
  <w:style w:type="character" w:customStyle="1" w:styleId="PieddepageCar">
    <w:name w:val="Pied de page Car"/>
    <w:basedOn w:val="Policepardfaut"/>
    <w:link w:val="Pieddepage"/>
    <w:uiPriority w:val="99"/>
    <w:rsid w:val="00824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1022</Words>
  <Characters>5621</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2026-03-07T23:01:00Z</dcterms:created>
  <dcterms:modified xsi:type="dcterms:W3CDTF">2026-03-07T23:02:00Z</dcterms:modified>
</cp:coreProperties>
</file>