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D0283" w14:textId="77777777" w:rsidR="00DA42C4" w:rsidRDefault="00000000">
      <w:pPr>
        <w:spacing w:after="80"/>
        <w:jc w:val="center"/>
      </w:pPr>
      <w:r>
        <w:rPr>
          <w:b/>
          <w:bCs/>
          <w:color w:val="1F4E79"/>
          <w:sz w:val="36"/>
          <w:szCs w:val="36"/>
        </w:rPr>
        <w:t>🎯 USE CASE 5 – SOUTRA MONEY</w:t>
      </w:r>
    </w:p>
    <w:p w14:paraId="6FF618CE" w14:textId="77777777" w:rsidR="00DA42C4" w:rsidRDefault="00000000">
      <w:pPr>
        <w:spacing w:after="40"/>
        <w:jc w:val="center"/>
      </w:pPr>
      <w:r>
        <w:rPr>
          <w:i/>
          <w:iCs/>
          <w:color w:val="555555"/>
          <w:sz w:val="24"/>
          <w:szCs w:val="24"/>
        </w:rPr>
        <w:t>API Gateway &amp; Standardisation Mobile Money</w:t>
      </w:r>
    </w:p>
    <w:p w14:paraId="4F228009" w14:textId="77777777" w:rsidR="00DA42C4" w:rsidRDefault="00000000">
      <w:pPr>
        <w:spacing w:after="360"/>
        <w:jc w:val="center"/>
      </w:pPr>
      <w:r>
        <w:rPr>
          <w:b/>
          <w:bCs/>
          <w:color w:val="C55A11"/>
          <w:sz w:val="22"/>
          <w:szCs w:val="22"/>
        </w:rPr>
        <w:t>CORRIGÉ COMPLET</w:t>
      </w:r>
    </w:p>
    <w:p w14:paraId="7996B401" w14:textId="3790D1AF" w:rsidR="00DA42C4" w:rsidRDefault="00000000">
      <w:pPr>
        <w:pStyle w:val="Titre1"/>
      </w:pPr>
      <w:r>
        <w:t>📋 PARTIE 1</w:t>
      </w:r>
      <w:r w:rsidR="00D80892">
        <w:t> :</w:t>
      </w:r>
      <w:r>
        <w:t>Diagnostic (Analyse du problème)</w:t>
      </w:r>
    </w:p>
    <w:p w14:paraId="2584894B" w14:textId="289DD781" w:rsidR="00DA42C4" w:rsidRDefault="00000000">
      <w:pPr>
        <w:pStyle w:val="Titre2"/>
      </w:pPr>
      <w:r>
        <w:t>Question 1</w:t>
      </w:r>
      <w:r w:rsidR="00B13F0A">
        <w:t> :</w:t>
      </w:r>
      <w:r>
        <w:t>Quels sont les problèmes actuels de Soutra Money ?</w:t>
      </w:r>
    </w:p>
    <w:p w14:paraId="6893D0B2" w14:textId="77777777" w:rsidR="00DA42C4" w:rsidRDefault="00DA42C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42C4" w14:paraId="50314EE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4F0"/>
            <w:tcMar>
              <w:top w:w="120" w:type="dxa"/>
              <w:left w:w="200" w:type="dxa"/>
              <w:bottom w:w="120" w:type="dxa"/>
              <w:right w:w="200" w:type="dxa"/>
            </w:tcMar>
          </w:tcPr>
          <w:p w14:paraId="09BA1D53" w14:textId="77777777" w:rsidR="00DA42C4" w:rsidRDefault="00000000">
            <w:pPr>
              <w:spacing w:before="60" w:after="80"/>
            </w:pPr>
            <w:r>
              <w:t>Soutra Money fait face à quatre problèmes majeurs :</w:t>
            </w:r>
          </w:p>
          <w:p w14:paraId="4403B8C4" w14:textId="77777777" w:rsidR="00DA42C4" w:rsidRDefault="00000000">
            <w:pPr>
              <w:pStyle w:val="Paragraphedeliste"/>
              <w:numPr>
                <w:ilvl w:val="0"/>
                <w:numId w:val="2"/>
              </w:numPr>
              <w:spacing w:before="60" w:after="40"/>
            </w:pPr>
            <w:r>
              <w:t>Intégrations longues et coûteuses : chaque opérateur nécessite un développement spécifique, multipliant les délais et les coûts.</w:t>
            </w:r>
          </w:p>
          <w:p w14:paraId="5DD41935" w14:textId="77777777" w:rsidR="00DA42C4" w:rsidRDefault="00000000">
            <w:pPr>
              <w:pStyle w:val="Paragraphedeliste"/>
              <w:numPr>
                <w:ilvl w:val="0"/>
                <w:numId w:val="2"/>
              </w:numPr>
              <w:spacing w:before="40" w:after="40"/>
            </w:pPr>
            <w:r>
              <w:t>Erreurs fréquentes : la diversité des formats de données et des règles de transaction augmente le risque d'incohérences et de bugs.</w:t>
            </w:r>
          </w:p>
          <w:p w14:paraId="2CD7F693" w14:textId="77777777" w:rsidR="00DA42C4" w:rsidRDefault="00000000">
            <w:pPr>
              <w:pStyle w:val="Paragraphedeliste"/>
              <w:numPr>
                <w:ilvl w:val="0"/>
                <w:numId w:val="2"/>
              </w:numPr>
              <w:spacing w:before="40" w:after="40"/>
            </w:pPr>
            <w:r>
              <w:t>Maintenance difficile : toute modification chez un opérateur oblige à toucher plusieurs parties du système.</w:t>
            </w:r>
          </w:p>
          <w:p w14:paraId="741B2397" w14:textId="77777777" w:rsidR="00DA42C4" w:rsidRDefault="00000000">
            <w:pPr>
              <w:pStyle w:val="Paragraphedeliste"/>
              <w:numPr>
                <w:ilvl w:val="0"/>
                <w:numId w:val="2"/>
              </w:numPr>
              <w:spacing w:before="40" w:after="60"/>
            </w:pPr>
            <w:r>
              <w:t>Dépendance aux développeurs : les équipes métier ne peuvent pas agir sans passer par des développeurs à chaque changement.</w:t>
            </w:r>
          </w:p>
        </w:tc>
      </w:tr>
    </w:tbl>
    <w:p w14:paraId="0EAD58FA" w14:textId="77777777" w:rsidR="00DA42C4" w:rsidRDefault="00DA42C4">
      <w:pPr>
        <w:spacing w:before="80" w:after="80"/>
      </w:pPr>
    </w:p>
    <w:p w14:paraId="2B3B2CDD" w14:textId="66506C68" w:rsidR="00DA42C4" w:rsidRDefault="00000000">
      <w:pPr>
        <w:pStyle w:val="Titre2"/>
      </w:pPr>
      <w:r>
        <w:t>Question 2</w:t>
      </w:r>
      <w:r w:rsidR="00B13F0A">
        <w:t> :</w:t>
      </w:r>
      <w:r>
        <w:t xml:space="preserve"> Pourquoi chaque opérateur crée de la complexité ?</w:t>
      </w:r>
    </w:p>
    <w:p w14:paraId="1834DD0D" w14:textId="77777777" w:rsidR="00DA42C4" w:rsidRDefault="00DA42C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42C4" w14:paraId="4F048FA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CE4D6"/>
            <w:tcMar>
              <w:top w:w="120" w:type="dxa"/>
              <w:left w:w="200" w:type="dxa"/>
              <w:bottom w:w="120" w:type="dxa"/>
              <w:right w:w="200" w:type="dxa"/>
            </w:tcMar>
          </w:tcPr>
          <w:p w14:paraId="3F10E921" w14:textId="2E7E8C19" w:rsidR="00DA42C4" w:rsidRDefault="00000000">
            <w:pPr>
              <w:spacing w:before="60" w:after="80"/>
            </w:pPr>
            <w:r>
              <w:t>Chaque opérateur (Orange Money, MTN) a développé son propre écosystème technique de manière indépendante :</w:t>
            </w:r>
          </w:p>
          <w:p w14:paraId="06CC73AE" w14:textId="77777777" w:rsidR="00DA42C4" w:rsidRDefault="00000000">
            <w:pPr>
              <w:pStyle w:val="Paragraphedeliste"/>
              <w:numPr>
                <w:ilvl w:val="0"/>
                <w:numId w:val="2"/>
              </w:numPr>
              <w:spacing w:before="60" w:after="40"/>
            </w:pPr>
            <w:r>
              <w:t xml:space="preserve">APIs différentes : </w:t>
            </w:r>
            <w:proofErr w:type="spellStart"/>
            <w:r>
              <w:t>endpoints</w:t>
            </w:r>
            <w:proofErr w:type="spellEnd"/>
            <w:r>
              <w:t xml:space="preserve">, méthodes d'authentification (API key, </w:t>
            </w:r>
            <w:proofErr w:type="spellStart"/>
            <w:r>
              <w:t>OAuth</w:t>
            </w:r>
            <w:proofErr w:type="spellEnd"/>
            <w:r>
              <w:t xml:space="preserve">, </w:t>
            </w:r>
            <w:proofErr w:type="spellStart"/>
            <w:r>
              <w:t>token</w:t>
            </w:r>
            <w:proofErr w:type="spellEnd"/>
            <w:r>
              <w:t xml:space="preserve"> JWT) et protocoles distincts.</w:t>
            </w:r>
          </w:p>
          <w:p w14:paraId="6C7E81C5" w14:textId="77777777" w:rsidR="00DA42C4" w:rsidRDefault="00000000">
            <w:pPr>
              <w:pStyle w:val="Paragraphedeliste"/>
              <w:numPr>
                <w:ilvl w:val="0"/>
                <w:numId w:val="2"/>
              </w:numPr>
              <w:spacing w:before="40" w:after="40"/>
            </w:pPr>
            <w:r>
              <w:t>Formats de données hétérogènes : certains retournent du JSON, d'autres du XML, avec des champs nommés différemment.</w:t>
            </w:r>
          </w:p>
          <w:p w14:paraId="4C455F2C" w14:textId="77777777" w:rsidR="00DA42C4" w:rsidRDefault="00000000">
            <w:pPr>
              <w:pStyle w:val="Paragraphedeliste"/>
              <w:numPr>
                <w:ilvl w:val="0"/>
                <w:numId w:val="2"/>
              </w:numPr>
              <w:spacing w:before="40" w:after="60"/>
            </w:pPr>
            <w:r>
              <w:t>Règles métier propres : plafonds de transaction, délais de traitement, formats de numéros de téléphone et codes de statut différents selon l'opérateur.</w:t>
            </w:r>
          </w:p>
          <w:p w14:paraId="1C60F786" w14:textId="431150C6" w:rsidR="00DA42C4" w:rsidRDefault="00000000">
            <w:pPr>
              <w:spacing w:before="40" w:after="60"/>
            </w:pPr>
            <w:r>
              <w:rPr>
                <w:i/>
                <w:iCs/>
              </w:rPr>
              <w:t xml:space="preserve">Résultat : pour </w:t>
            </w:r>
            <w:r w:rsidR="00B13F0A">
              <w:rPr>
                <w:i/>
                <w:iCs/>
              </w:rPr>
              <w:t>2</w:t>
            </w:r>
            <w:r>
              <w:rPr>
                <w:i/>
                <w:iCs/>
              </w:rPr>
              <w:t xml:space="preserve"> opérateurs, Soutra Money doit maintenir </w:t>
            </w:r>
            <w:r w:rsidR="00B13F0A">
              <w:rPr>
                <w:i/>
                <w:iCs/>
              </w:rPr>
              <w:t>2</w:t>
            </w:r>
            <w:r>
              <w:rPr>
                <w:i/>
                <w:iCs/>
              </w:rPr>
              <w:t xml:space="preserve"> codes différents, </w:t>
            </w:r>
            <w:r w:rsidR="00B13F0A">
              <w:rPr>
                <w:i/>
                <w:iCs/>
              </w:rPr>
              <w:t>2</w:t>
            </w:r>
            <w:r>
              <w:rPr>
                <w:i/>
                <w:iCs/>
              </w:rPr>
              <w:t xml:space="preserve"> logiques de traitement, et </w:t>
            </w:r>
            <w:r w:rsidR="00B13F0A">
              <w:rPr>
                <w:i/>
                <w:iCs/>
              </w:rPr>
              <w:t>2</w:t>
            </w:r>
            <w:r>
              <w:rPr>
                <w:i/>
                <w:iCs/>
              </w:rPr>
              <w:t xml:space="preserve"> documentations — soit une complexité multipliée par </w:t>
            </w:r>
            <w:r w:rsidR="00B13F0A">
              <w:rPr>
                <w:i/>
                <w:iCs/>
              </w:rPr>
              <w:t>2</w:t>
            </w:r>
            <w:r>
              <w:rPr>
                <w:i/>
                <w:iCs/>
              </w:rPr>
              <w:t xml:space="preserve"> à chaque évolution.</w:t>
            </w:r>
          </w:p>
        </w:tc>
      </w:tr>
    </w:tbl>
    <w:p w14:paraId="7D08719A" w14:textId="77777777" w:rsidR="00DA42C4" w:rsidRDefault="00DA42C4">
      <w:pPr>
        <w:spacing w:before="80" w:after="80"/>
      </w:pPr>
    </w:p>
    <w:p w14:paraId="47FB2305" w14:textId="370ED781" w:rsidR="00DA42C4" w:rsidRDefault="00000000">
      <w:pPr>
        <w:pStyle w:val="Titre2"/>
      </w:pPr>
      <w:r>
        <w:t>Question 3</w:t>
      </w:r>
      <w:r w:rsidR="00B13F0A">
        <w:t> :</w:t>
      </w:r>
      <w:r>
        <w:t xml:space="preserve"> Quels sont les risques sans harmonisation ?</w:t>
      </w:r>
    </w:p>
    <w:p w14:paraId="087B5D3F" w14:textId="77777777" w:rsidR="00DA42C4" w:rsidRDefault="00DA42C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A42C4" w14:paraId="5C25B10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tcPr>
          <w:p w14:paraId="7FB4F8F9" w14:textId="77777777" w:rsidR="00DA42C4" w:rsidRDefault="00000000">
            <w:r>
              <w:rPr>
                <w:b/>
                <w:bCs/>
                <w:color w:val="FFFFFF"/>
              </w:rPr>
              <w:t>Catégorie de risque</w:t>
            </w:r>
          </w:p>
        </w:tc>
        <w:tc>
          <w:tcPr>
            <w:tcW w:w="63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tcPr>
          <w:p w14:paraId="5CC06669" w14:textId="77777777" w:rsidR="00DA42C4" w:rsidRDefault="00000000">
            <w:r>
              <w:rPr>
                <w:b/>
                <w:bCs/>
                <w:color w:val="FFFFFF"/>
              </w:rPr>
              <w:t>Description</w:t>
            </w:r>
          </w:p>
        </w:tc>
      </w:tr>
      <w:tr w:rsidR="00DA42C4" w14:paraId="4198D2C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tcPr>
          <w:p w14:paraId="2D04F5B8" w14:textId="77777777" w:rsidR="00DA42C4" w:rsidRDefault="00000000">
            <w:r>
              <w:rPr>
                <w:b/>
                <w:bCs/>
                <w:sz w:val="19"/>
                <w:szCs w:val="19"/>
              </w:rPr>
              <w:t>⚠️ Risque technique</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tcPr>
          <w:p w14:paraId="325352B6" w14:textId="77777777" w:rsidR="00DA42C4" w:rsidRDefault="00000000">
            <w:r>
              <w:rPr>
                <w:sz w:val="19"/>
                <w:szCs w:val="19"/>
              </w:rPr>
              <w:t xml:space="preserve">Panne d'un connecteur impacte toutes les transactions de cet opérateur sans mécanisme de </w:t>
            </w:r>
            <w:proofErr w:type="spellStart"/>
            <w:r>
              <w:rPr>
                <w:sz w:val="19"/>
                <w:szCs w:val="19"/>
              </w:rPr>
              <w:t>fallback</w:t>
            </w:r>
            <w:proofErr w:type="spellEnd"/>
            <w:r>
              <w:rPr>
                <w:sz w:val="19"/>
                <w:szCs w:val="19"/>
              </w:rPr>
              <w:t>.</w:t>
            </w:r>
          </w:p>
        </w:tc>
      </w:tr>
      <w:tr w:rsidR="00DA42C4" w14:paraId="6AC366B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EDBF5A4" w14:textId="77777777" w:rsidR="00DA42C4" w:rsidRDefault="00000000">
            <w:r>
              <w:rPr>
                <w:b/>
                <w:bCs/>
                <w:sz w:val="19"/>
                <w:szCs w:val="19"/>
              </w:rPr>
              <w:t>💸 Risque financier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76B4F05" w14:textId="77777777" w:rsidR="00DA42C4" w:rsidRDefault="00000000">
            <w:r>
              <w:rPr>
                <w:sz w:val="19"/>
                <w:szCs w:val="19"/>
              </w:rPr>
              <w:t>Erreurs de traitement entraînent des pertes, des doublons ou des transactions non honorées.</w:t>
            </w:r>
          </w:p>
        </w:tc>
      </w:tr>
      <w:tr w:rsidR="00DA42C4" w14:paraId="785C6B5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tcPr>
          <w:p w14:paraId="6548EDC5" w14:textId="77777777" w:rsidR="00DA42C4" w:rsidRDefault="00000000">
            <w:r>
              <w:rPr>
                <w:b/>
                <w:bCs/>
                <w:sz w:val="19"/>
                <w:szCs w:val="19"/>
              </w:rPr>
              <w:t>📉 Risque de scalabilité</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tcPr>
          <w:p w14:paraId="39D6969A" w14:textId="50F7FF23" w:rsidR="00DA42C4" w:rsidRDefault="00000000">
            <w:r>
              <w:rPr>
                <w:sz w:val="19"/>
                <w:szCs w:val="19"/>
              </w:rPr>
              <w:t xml:space="preserve">Ajouter un </w:t>
            </w:r>
            <w:r w:rsidR="00B13F0A">
              <w:rPr>
                <w:sz w:val="19"/>
                <w:szCs w:val="19"/>
              </w:rPr>
              <w:t>3</w:t>
            </w:r>
            <w:r>
              <w:rPr>
                <w:sz w:val="19"/>
                <w:szCs w:val="19"/>
              </w:rPr>
              <w:t>e opérateur (ex. Wave) nécessite un nouveau développement complet, sans mutualisation possible.</w:t>
            </w:r>
          </w:p>
        </w:tc>
      </w:tr>
      <w:tr w:rsidR="00DA42C4" w14:paraId="13117D5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C8E9079" w14:textId="77777777" w:rsidR="00DA42C4" w:rsidRDefault="00000000">
            <w:r>
              <w:rPr>
                <w:b/>
                <w:bCs/>
                <w:sz w:val="19"/>
                <w:szCs w:val="19"/>
              </w:rPr>
              <w:t>🔓 Risque sécurité</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4491758" w14:textId="77777777" w:rsidR="00DA42C4" w:rsidRDefault="00000000">
            <w:r>
              <w:rPr>
                <w:sz w:val="19"/>
                <w:szCs w:val="19"/>
              </w:rPr>
              <w:t>Chaque intégration étant différente, les contrôles de sécurité peuvent être inégaux selon l'opérateur.</w:t>
            </w:r>
          </w:p>
        </w:tc>
      </w:tr>
      <w:tr w:rsidR="00DA42C4" w14:paraId="4D5D5DF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tcPr>
          <w:p w14:paraId="21012095" w14:textId="77777777" w:rsidR="00DA42C4" w:rsidRDefault="00000000">
            <w:r>
              <w:rPr>
                <w:b/>
                <w:bCs/>
                <w:sz w:val="19"/>
                <w:szCs w:val="19"/>
              </w:rPr>
              <w:t>🤝 Risque client</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tcPr>
          <w:p w14:paraId="434BC8A6" w14:textId="77777777" w:rsidR="00DA42C4" w:rsidRDefault="00000000">
            <w:r>
              <w:rPr>
                <w:sz w:val="19"/>
                <w:szCs w:val="19"/>
              </w:rPr>
              <w:t>Expérience utilisateur incohérente selon le canal utilisé, nuisant à la confiance et à la fidélisation.</w:t>
            </w:r>
          </w:p>
        </w:tc>
      </w:tr>
    </w:tbl>
    <w:p w14:paraId="11E9FE5C" w14:textId="77777777" w:rsidR="00DA42C4" w:rsidRDefault="00DA42C4">
      <w:pPr>
        <w:spacing w:before="80" w:after="80"/>
      </w:pPr>
    </w:p>
    <w:p w14:paraId="58CFC30C" w14:textId="77777777" w:rsidR="00DA42C4" w:rsidRDefault="00DA42C4">
      <w:pPr>
        <w:spacing w:before="80" w:after="80"/>
      </w:pPr>
    </w:p>
    <w:p w14:paraId="357A82F8" w14:textId="3F873EB4" w:rsidR="00DA42C4" w:rsidRDefault="00000000">
      <w:pPr>
        <w:pStyle w:val="Titre1"/>
      </w:pPr>
      <w:r>
        <w:t>🏗️ PARTIE 2</w:t>
      </w:r>
      <w:r w:rsidR="00B13F0A">
        <w:t> :</w:t>
      </w:r>
      <w:r>
        <w:t xml:space="preserve"> Proposition de solution</w:t>
      </w:r>
    </w:p>
    <w:p w14:paraId="37FF353E" w14:textId="77777777" w:rsidR="00DA42C4" w:rsidRDefault="00000000">
      <w:pPr>
        <w:pStyle w:val="Titre2"/>
      </w:pPr>
      <w:r>
        <w:t>1️⃣ Architecture : placement de l'API Gateway</w:t>
      </w:r>
    </w:p>
    <w:p w14:paraId="54AA5A7F" w14:textId="77777777" w:rsidR="00DA42C4" w:rsidRDefault="00DA42C4">
      <w:pPr>
        <w:spacing w:before="80" w:after="80"/>
      </w:pPr>
    </w:p>
    <w:p w14:paraId="265EA536" w14:textId="77777777" w:rsidR="00DA42C4" w:rsidRDefault="00000000">
      <w:pPr>
        <w:spacing w:before="80" w:after="80"/>
      </w:pPr>
      <w:r>
        <w:t>L'API Gateway se positionne comme couche intermédiaire centrale entre les applications internes et les opérateurs externes :</w:t>
      </w:r>
    </w:p>
    <w:p w14:paraId="17F4D1C0" w14:textId="77777777" w:rsidR="00DA42C4" w:rsidRDefault="00DA42C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42C4" w14:paraId="45A5929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7F7F7"/>
            <w:tcMar>
              <w:top w:w="120" w:type="dxa"/>
              <w:left w:w="200" w:type="dxa"/>
              <w:bottom w:w="120" w:type="dxa"/>
              <w:right w:w="200" w:type="dxa"/>
            </w:tcMar>
          </w:tcPr>
          <w:p w14:paraId="261F7104" w14:textId="77777777" w:rsidR="00DA42C4" w:rsidRDefault="00000000">
            <w:pPr>
              <w:spacing w:before="80" w:after="40"/>
              <w:jc w:val="center"/>
            </w:pPr>
            <w:r>
              <w:rPr>
                <w:rFonts w:ascii="Courier New" w:eastAsia="Courier New" w:hAnsi="Courier New" w:cs="Courier New"/>
                <w:b/>
                <w:bCs/>
                <w:color w:val="1F4E79"/>
              </w:rPr>
              <w:t>APPLICATIONS INTERNES</w:t>
            </w:r>
          </w:p>
          <w:p w14:paraId="1F3F7E1F" w14:textId="77777777" w:rsidR="00DA42C4" w:rsidRDefault="00000000">
            <w:pPr>
              <w:jc w:val="center"/>
            </w:pPr>
            <w:r>
              <w:rPr>
                <w:rFonts w:ascii="Courier New" w:eastAsia="Courier New" w:hAnsi="Courier New" w:cs="Courier New"/>
                <w:sz w:val="18"/>
                <w:szCs w:val="18"/>
              </w:rPr>
              <w:t>[ App Mobile ]   [ Dashboard Web ]   [ Back-office ]</w:t>
            </w:r>
          </w:p>
          <w:p w14:paraId="61D632AB" w14:textId="77777777" w:rsidR="00DA42C4" w:rsidRDefault="00000000">
            <w:pPr>
              <w:jc w:val="center"/>
            </w:pPr>
            <w:r>
              <w:rPr>
                <w:rFonts w:ascii="Courier New" w:eastAsia="Courier New" w:hAnsi="Courier New" w:cs="Courier New"/>
                <w:sz w:val="18"/>
                <w:szCs w:val="18"/>
              </w:rPr>
              <w:t xml:space="preserve">         |                |                  |</w:t>
            </w:r>
          </w:p>
          <w:p w14:paraId="7162A7EE" w14:textId="77777777" w:rsidR="00DA42C4" w:rsidRDefault="00000000">
            <w:pPr>
              <w:jc w:val="center"/>
            </w:pPr>
            <w:r>
              <w:rPr>
                <w:rFonts w:ascii="Courier New" w:eastAsia="Courier New" w:hAnsi="Courier New" w:cs="Courier New"/>
                <w:sz w:val="18"/>
                <w:szCs w:val="18"/>
              </w:rPr>
              <w:t xml:space="preserve">         +----------------+------------------+</w:t>
            </w:r>
          </w:p>
          <w:p w14:paraId="70D13F2F" w14:textId="77777777" w:rsidR="00DA42C4" w:rsidRDefault="00000000">
            <w:pPr>
              <w:jc w:val="center"/>
            </w:pPr>
            <w:r>
              <w:rPr>
                <w:rFonts w:ascii="Courier New" w:eastAsia="Courier New" w:hAnsi="Courier New" w:cs="Courier New"/>
                <w:sz w:val="18"/>
                <w:szCs w:val="18"/>
              </w:rPr>
              <w:t xml:space="preserve">                          |</w:t>
            </w:r>
          </w:p>
          <w:p w14:paraId="2671D34E" w14:textId="77777777" w:rsidR="00DA42C4" w:rsidRDefault="00000000">
            <w:pPr>
              <w:jc w:val="center"/>
            </w:pPr>
            <w:r>
              <w:rPr>
                <w:rFonts w:ascii="Courier New" w:eastAsia="Courier New" w:hAnsi="Courier New" w:cs="Courier New"/>
                <w:sz w:val="18"/>
                <w:szCs w:val="18"/>
              </w:rPr>
              <w:t xml:space="preserve">               +----------v-----------+</w:t>
            </w:r>
          </w:p>
          <w:p w14:paraId="77C41A18" w14:textId="77777777" w:rsidR="00DA42C4" w:rsidRDefault="00000000">
            <w:pPr>
              <w:jc w:val="center"/>
            </w:pPr>
            <w:r>
              <w:rPr>
                <w:rFonts w:ascii="Courier New" w:eastAsia="Courier New" w:hAnsi="Courier New" w:cs="Courier New"/>
                <w:b/>
                <w:bCs/>
                <w:color w:val="C55A11"/>
              </w:rPr>
              <w:t xml:space="preserve">               |      API GATEWAY      |</w:t>
            </w:r>
          </w:p>
          <w:p w14:paraId="392A04DA" w14:textId="77777777" w:rsidR="00DA42C4" w:rsidRDefault="00000000">
            <w:pPr>
              <w:jc w:val="center"/>
            </w:pPr>
            <w:r>
              <w:rPr>
                <w:rFonts w:ascii="Courier New" w:eastAsia="Courier New" w:hAnsi="Courier New" w:cs="Courier New"/>
                <w:sz w:val="18"/>
                <w:szCs w:val="18"/>
              </w:rPr>
              <w:t xml:space="preserve">               |  Auth | </w:t>
            </w:r>
            <w:proofErr w:type="spellStart"/>
            <w:r>
              <w:rPr>
                <w:rFonts w:ascii="Courier New" w:eastAsia="Courier New" w:hAnsi="Courier New" w:cs="Courier New"/>
                <w:sz w:val="18"/>
                <w:szCs w:val="18"/>
              </w:rPr>
              <w:t>Routing</w:t>
            </w:r>
            <w:proofErr w:type="spellEnd"/>
            <w:r>
              <w:rPr>
                <w:rFonts w:ascii="Courier New" w:eastAsia="Courier New" w:hAnsi="Courier New" w:cs="Courier New"/>
                <w:sz w:val="18"/>
                <w:szCs w:val="18"/>
              </w:rPr>
              <w:t xml:space="preserve"> | Log  |</w:t>
            </w:r>
          </w:p>
          <w:p w14:paraId="1C08FC09" w14:textId="77777777" w:rsidR="00DA42C4" w:rsidRDefault="00000000">
            <w:pPr>
              <w:jc w:val="center"/>
            </w:pPr>
            <w:r>
              <w:rPr>
                <w:rFonts w:ascii="Courier New" w:eastAsia="Courier New" w:hAnsi="Courier New" w:cs="Courier New"/>
                <w:sz w:val="18"/>
                <w:szCs w:val="18"/>
              </w:rPr>
              <w:t xml:space="preserve">               +--+------+----+---+--+--+</w:t>
            </w:r>
          </w:p>
          <w:p w14:paraId="1FB99AC5" w14:textId="77777777" w:rsidR="00DA42C4" w:rsidRDefault="00000000">
            <w:pPr>
              <w:jc w:val="center"/>
            </w:pPr>
            <w:r>
              <w:rPr>
                <w:rFonts w:ascii="Courier New" w:eastAsia="Courier New" w:hAnsi="Courier New" w:cs="Courier New"/>
                <w:sz w:val="18"/>
                <w:szCs w:val="18"/>
              </w:rPr>
              <w:t xml:space="preserve">                  |      |    |       |</w:t>
            </w:r>
          </w:p>
          <w:p w14:paraId="2E734591" w14:textId="77777777" w:rsidR="00DA42C4" w:rsidRDefault="00000000">
            <w:pPr>
              <w:jc w:val="center"/>
            </w:pPr>
            <w:r>
              <w:rPr>
                <w:rFonts w:ascii="Courier New" w:eastAsia="Courier New" w:hAnsi="Courier New" w:cs="Courier New"/>
                <w:sz w:val="18"/>
                <w:szCs w:val="18"/>
              </w:rPr>
              <w:t xml:space="preserve">           +------+  +--+  +---+   +--+</w:t>
            </w:r>
          </w:p>
          <w:p w14:paraId="1740A8E4" w14:textId="77777777" w:rsidR="00DA42C4" w:rsidRDefault="00000000">
            <w:pPr>
              <w:spacing w:after="80"/>
              <w:jc w:val="center"/>
            </w:pPr>
            <w:r>
              <w:rPr>
                <w:rFonts w:ascii="Courier New" w:eastAsia="Courier New" w:hAnsi="Courier New" w:cs="Courier New"/>
                <w:color w:val="375623"/>
                <w:sz w:val="18"/>
                <w:szCs w:val="18"/>
              </w:rPr>
              <w:t xml:space="preserve">      [Orange]  [MTN]  [Moov]  [Wave]</w:t>
            </w:r>
          </w:p>
          <w:p w14:paraId="269BE4CF" w14:textId="77777777" w:rsidR="00DA42C4" w:rsidRDefault="00000000">
            <w:pPr>
              <w:spacing w:after="60"/>
              <w:jc w:val="center"/>
            </w:pPr>
            <w:r>
              <w:rPr>
                <w:rFonts w:ascii="Courier New" w:eastAsia="Courier New" w:hAnsi="Courier New" w:cs="Courier New"/>
                <w:b/>
                <w:bCs/>
                <w:color w:val="375623"/>
              </w:rPr>
              <w:t>OPÉRATEURS MOBILES MONEY</w:t>
            </w:r>
          </w:p>
        </w:tc>
      </w:tr>
    </w:tbl>
    <w:p w14:paraId="7BF5B04D" w14:textId="77777777" w:rsidR="00DA42C4" w:rsidRDefault="00DA42C4">
      <w:pPr>
        <w:spacing w:before="80" w:after="80"/>
      </w:pPr>
    </w:p>
    <w:p w14:paraId="1B796712" w14:textId="77777777" w:rsidR="00DA42C4" w:rsidRDefault="00000000">
      <w:pPr>
        <w:spacing w:before="80" w:after="80"/>
      </w:pPr>
      <w:r>
        <w:t xml:space="preserve">Les applications internes (app mobile, </w:t>
      </w:r>
      <w:proofErr w:type="spellStart"/>
      <w:r>
        <w:t>dashboard</w:t>
      </w:r>
      <w:proofErr w:type="spellEnd"/>
      <w:r>
        <w:t>, back-office) communiquent uniquement avec l'API Gateway via des requêtes standardisées. L'API Gateway traduit ensuite ces requêtes dans le format propre à chaque opérateur.</w:t>
      </w:r>
    </w:p>
    <w:p w14:paraId="1B73E300" w14:textId="77777777" w:rsidR="00DA42C4" w:rsidRDefault="00DA42C4">
      <w:pPr>
        <w:spacing w:before="80" w:after="80"/>
      </w:pPr>
    </w:p>
    <w:p w14:paraId="47D83916" w14:textId="77777777" w:rsidR="00DA42C4" w:rsidRDefault="00000000">
      <w:pPr>
        <w:pStyle w:val="Titre2"/>
      </w:pPr>
      <w:r>
        <w:t>2️⃣ Standardisation : formats unifiés</w:t>
      </w:r>
    </w:p>
    <w:p w14:paraId="4D12E2C6" w14:textId="77777777" w:rsidR="00DA42C4" w:rsidRDefault="00DA42C4">
      <w:pPr>
        <w:spacing w:before="80" w:after="80"/>
      </w:pPr>
    </w:p>
    <w:p w14:paraId="6892A157" w14:textId="77777777" w:rsidR="00DA42C4" w:rsidRDefault="00000000">
      <w:pPr>
        <w:spacing w:before="200" w:after="80"/>
      </w:pPr>
      <w:r>
        <w:rPr>
          <w:b/>
          <w:bCs/>
          <w:color w:val="375623"/>
          <w:sz w:val="22"/>
          <w:szCs w:val="22"/>
        </w:rPr>
        <w:t>Format de transaction unique</w:t>
      </w:r>
    </w:p>
    <w:p w14:paraId="5C447785" w14:textId="77777777" w:rsidR="00DA42C4" w:rsidRDefault="00DA42C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42C4" w14:paraId="5854EF8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4F8FB"/>
            <w:tcMar>
              <w:top w:w="120" w:type="dxa"/>
              <w:left w:w="200" w:type="dxa"/>
              <w:bottom w:w="120" w:type="dxa"/>
              <w:right w:w="200" w:type="dxa"/>
            </w:tcMar>
          </w:tcPr>
          <w:p w14:paraId="49AA1F41" w14:textId="77777777" w:rsidR="00DA42C4" w:rsidRDefault="00000000">
            <w:pPr>
              <w:spacing w:before="60" w:after="20"/>
            </w:pPr>
            <w:r>
              <w:rPr>
                <w:rFonts w:ascii="Courier New" w:eastAsia="Courier New" w:hAnsi="Courier New" w:cs="Courier New"/>
                <w:sz w:val="18"/>
                <w:szCs w:val="18"/>
              </w:rPr>
              <w:t>{</w:t>
            </w:r>
          </w:p>
          <w:p w14:paraId="1E7DD6B5" w14:textId="77777777" w:rsidR="00DA42C4"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transaction_id</w:t>
            </w:r>
            <w:proofErr w:type="spellEnd"/>
            <w:r>
              <w:rPr>
                <w:rFonts w:ascii="Courier New" w:eastAsia="Courier New" w:hAnsi="Courier New" w:cs="Courier New"/>
                <w:sz w:val="18"/>
                <w:szCs w:val="18"/>
              </w:rPr>
              <w:t>": "TXN-2024-00123456",</w:t>
            </w:r>
          </w:p>
          <w:p w14:paraId="5CA2AC47" w14:textId="77777777" w:rsidR="00DA42C4"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amount</w:t>
            </w:r>
            <w:proofErr w:type="spellEnd"/>
            <w:r>
              <w:rPr>
                <w:rFonts w:ascii="Courier New" w:eastAsia="Courier New" w:hAnsi="Courier New" w:cs="Courier New"/>
                <w:sz w:val="18"/>
                <w:szCs w:val="18"/>
              </w:rPr>
              <w:t>": 5000,</w:t>
            </w:r>
          </w:p>
          <w:p w14:paraId="67B8076B" w14:textId="3165F6F5" w:rsidR="00DA42C4"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currency</w:t>
            </w:r>
            <w:proofErr w:type="spellEnd"/>
            <w:r>
              <w:rPr>
                <w:rFonts w:ascii="Courier New" w:eastAsia="Courier New" w:hAnsi="Courier New" w:cs="Courier New"/>
                <w:sz w:val="18"/>
                <w:szCs w:val="18"/>
              </w:rPr>
              <w:t>": "</w:t>
            </w:r>
            <w:r w:rsidR="00B13F0A">
              <w:rPr>
                <w:rFonts w:ascii="Courier New" w:eastAsia="Courier New" w:hAnsi="Courier New" w:cs="Courier New"/>
                <w:sz w:val="18"/>
                <w:szCs w:val="18"/>
              </w:rPr>
              <w:t>GNF</w:t>
            </w:r>
            <w:r>
              <w:rPr>
                <w:rFonts w:ascii="Courier New" w:eastAsia="Courier New" w:hAnsi="Courier New" w:cs="Courier New"/>
                <w:sz w:val="18"/>
                <w:szCs w:val="18"/>
              </w:rPr>
              <w:t>",</w:t>
            </w:r>
          </w:p>
          <w:p w14:paraId="1A0175BB" w14:textId="77777777" w:rsidR="00DA42C4"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sender</w:t>
            </w:r>
            <w:proofErr w:type="spellEnd"/>
            <w:r>
              <w:rPr>
                <w:rFonts w:ascii="Courier New" w:eastAsia="Courier New" w:hAnsi="Courier New" w:cs="Courier New"/>
                <w:sz w:val="18"/>
                <w:szCs w:val="18"/>
              </w:rPr>
              <w:t>": "CLIENT-00456",</w:t>
            </w:r>
          </w:p>
          <w:p w14:paraId="450E42F4" w14:textId="77777777" w:rsidR="00DA42C4"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receiver</w:t>
            </w:r>
            <w:proofErr w:type="spellEnd"/>
            <w:r>
              <w:rPr>
                <w:rFonts w:ascii="Courier New" w:eastAsia="Courier New" w:hAnsi="Courier New" w:cs="Courier New"/>
                <w:sz w:val="18"/>
                <w:szCs w:val="18"/>
              </w:rPr>
              <w:t>": "CLIENT-00789",</w:t>
            </w:r>
          </w:p>
          <w:p w14:paraId="4F2B5113" w14:textId="77777777" w:rsidR="00DA42C4"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operator</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orange_money</w:t>
            </w:r>
            <w:proofErr w:type="spellEnd"/>
            <w:r>
              <w:rPr>
                <w:rFonts w:ascii="Courier New" w:eastAsia="Courier New" w:hAnsi="Courier New" w:cs="Courier New"/>
                <w:sz w:val="18"/>
                <w:szCs w:val="18"/>
              </w:rPr>
              <w:t>",</w:t>
            </w:r>
          </w:p>
          <w:p w14:paraId="4BD215DA" w14:textId="77777777" w:rsidR="00DA42C4" w:rsidRDefault="00000000">
            <w:r>
              <w:rPr>
                <w:rFonts w:ascii="Courier New" w:eastAsia="Courier New" w:hAnsi="Courier New" w:cs="Courier New"/>
                <w:sz w:val="18"/>
                <w:szCs w:val="18"/>
              </w:rPr>
              <w:t xml:space="preserve">  "timestamp": "2024-06-01T14:32:00Z",</w:t>
            </w:r>
          </w:p>
          <w:p w14:paraId="559D1EC4" w14:textId="77777777" w:rsidR="00DA42C4"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status</w:t>
            </w:r>
            <w:proofErr w:type="spellEnd"/>
            <w:r>
              <w:rPr>
                <w:rFonts w:ascii="Courier New" w:eastAsia="Courier New" w:hAnsi="Courier New" w:cs="Courier New"/>
                <w:sz w:val="18"/>
                <w:szCs w:val="18"/>
              </w:rPr>
              <w:t>": "PENDING"</w:t>
            </w:r>
          </w:p>
          <w:p w14:paraId="07B2257D" w14:textId="77777777" w:rsidR="00DA42C4" w:rsidRDefault="00000000">
            <w:pPr>
              <w:spacing w:after="60"/>
            </w:pPr>
            <w:r>
              <w:rPr>
                <w:rFonts w:ascii="Courier New" w:eastAsia="Courier New" w:hAnsi="Courier New" w:cs="Courier New"/>
                <w:sz w:val="18"/>
                <w:szCs w:val="18"/>
              </w:rPr>
              <w:t>}</w:t>
            </w:r>
          </w:p>
        </w:tc>
      </w:tr>
    </w:tbl>
    <w:p w14:paraId="4D769E1B" w14:textId="77777777" w:rsidR="00DA42C4" w:rsidRDefault="00DA42C4">
      <w:pPr>
        <w:spacing w:before="80" w:after="80"/>
      </w:pPr>
    </w:p>
    <w:p w14:paraId="5A9C6040" w14:textId="77777777" w:rsidR="00DA42C4" w:rsidRDefault="00000000">
      <w:pPr>
        <w:spacing w:before="200" w:after="80"/>
      </w:pPr>
      <w:r>
        <w:rPr>
          <w:b/>
          <w:bCs/>
          <w:color w:val="375623"/>
          <w:sz w:val="22"/>
          <w:szCs w:val="22"/>
        </w:rPr>
        <w:t>Identifiant client unique</w:t>
      </w:r>
    </w:p>
    <w:p w14:paraId="3C256D6A" w14:textId="77777777" w:rsidR="00DA42C4" w:rsidRDefault="00000000">
      <w:pPr>
        <w:spacing w:before="80" w:after="80"/>
      </w:pPr>
      <w:r>
        <w:t>Chaque client reçoit un identifiant interne Soutra Money (ex. CLIENT-XXXXX) indépendant du numéro de téléphone de l'opérateur. L'API Gateway se charge de la correspondance entre l'ID client et le numéro propre à chaque opérateur.</w:t>
      </w:r>
    </w:p>
    <w:p w14:paraId="02E34025" w14:textId="77777777" w:rsidR="00DA42C4" w:rsidRDefault="00DA42C4">
      <w:pPr>
        <w:spacing w:before="80" w:after="80"/>
      </w:pPr>
    </w:p>
    <w:p w14:paraId="6F0A1F5B" w14:textId="77777777" w:rsidR="00B13F0A" w:rsidRDefault="00B13F0A">
      <w:pPr>
        <w:spacing w:before="80" w:after="80"/>
      </w:pPr>
    </w:p>
    <w:p w14:paraId="63208D9A" w14:textId="77777777" w:rsidR="00DA42C4" w:rsidRDefault="00000000">
      <w:pPr>
        <w:spacing w:before="200" w:after="80"/>
      </w:pPr>
      <w:r>
        <w:rPr>
          <w:b/>
          <w:bCs/>
          <w:color w:val="375623"/>
          <w:sz w:val="22"/>
          <w:szCs w:val="22"/>
        </w:rPr>
        <w:lastRenderedPageBreak/>
        <w:t>Format de réponse standard</w:t>
      </w:r>
    </w:p>
    <w:p w14:paraId="72E535B2" w14:textId="77777777" w:rsidR="00DA42C4" w:rsidRDefault="00DA42C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42C4" w14:paraId="06463E0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4F8FB"/>
            <w:tcMar>
              <w:top w:w="120" w:type="dxa"/>
              <w:left w:w="200" w:type="dxa"/>
              <w:bottom w:w="120" w:type="dxa"/>
              <w:right w:w="200" w:type="dxa"/>
            </w:tcMar>
          </w:tcPr>
          <w:p w14:paraId="5E49DBF5" w14:textId="77777777" w:rsidR="00DA42C4" w:rsidRDefault="00000000">
            <w:pPr>
              <w:spacing w:before="60" w:after="20"/>
            </w:pPr>
            <w:r>
              <w:rPr>
                <w:rFonts w:ascii="Courier New" w:eastAsia="Courier New" w:hAnsi="Courier New" w:cs="Courier New"/>
                <w:color w:val="007700"/>
                <w:sz w:val="18"/>
                <w:szCs w:val="18"/>
              </w:rPr>
              <w:t>// Succès</w:t>
            </w:r>
          </w:p>
          <w:p w14:paraId="52882E3A" w14:textId="77777777" w:rsidR="00DA42C4" w:rsidRDefault="00000000">
            <w:r>
              <w:rPr>
                <w:rFonts w:ascii="Courier New" w:eastAsia="Courier New" w:hAnsi="Courier New" w:cs="Courier New"/>
                <w:sz w:val="18"/>
                <w:szCs w:val="18"/>
              </w:rPr>
              <w:t>{ "</w:t>
            </w:r>
            <w:proofErr w:type="spellStart"/>
            <w:r>
              <w:rPr>
                <w:rFonts w:ascii="Courier New" w:eastAsia="Courier New" w:hAnsi="Courier New" w:cs="Courier New"/>
                <w:sz w:val="18"/>
                <w:szCs w:val="18"/>
              </w:rPr>
              <w:t>status</w:t>
            </w:r>
            <w:proofErr w:type="spellEnd"/>
            <w:r>
              <w:rPr>
                <w:rFonts w:ascii="Courier New" w:eastAsia="Courier New" w:hAnsi="Courier New" w:cs="Courier New"/>
                <w:sz w:val="18"/>
                <w:szCs w:val="18"/>
              </w:rPr>
              <w:t>": "SUCCESS", "code": 200,</w:t>
            </w:r>
          </w:p>
          <w:p w14:paraId="4D625A4F" w14:textId="77777777" w:rsidR="00DA42C4"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transaction_id</w:t>
            </w:r>
            <w:proofErr w:type="spellEnd"/>
            <w:r>
              <w:rPr>
                <w:rFonts w:ascii="Courier New" w:eastAsia="Courier New" w:hAnsi="Courier New" w:cs="Courier New"/>
                <w:sz w:val="18"/>
                <w:szCs w:val="18"/>
              </w:rPr>
              <w:t>": "TXN-2024-00123456", "message": "OK" }</w:t>
            </w:r>
          </w:p>
          <w:p w14:paraId="512F7079" w14:textId="77777777" w:rsidR="00DA42C4" w:rsidRDefault="00000000">
            <w:pPr>
              <w:spacing w:before="40" w:after="20"/>
            </w:pPr>
            <w:r>
              <w:rPr>
                <w:rFonts w:ascii="Courier New" w:eastAsia="Courier New" w:hAnsi="Courier New" w:cs="Courier New"/>
                <w:color w:val="CC0000"/>
                <w:sz w:val="18"/>
                <w:szCs w:val="18"/>
              </w:rPr>
              <w:t>// Erreur</w:t>
            </w:r>
          </w:p>
          <w:p w14:paraId="23FAC1C1" w14:textId="77777777" w:rsidR="00DA42C4" w:rsidRDefault="00000000">
            <w:r>
              <w:rPr>
                <w:rFonts w:ascii="Courier New" w:eastAsia="Courier New" w:hAnsi="Courier New" w:cs="Courier New"/>
                <w:sz w:val="18"/>
                <w:szCs w:val="18"/>
              </w:rPr>
              <w:t>{ "</w:t>
            </w:r>
            <w:proofErr w:type="spellStart"/>
            <w:r>
              <w:rPr>
                <w:rFonts w:ascii="Courier New" w:eastAsia="Courier New" w:hAnsi="Courier New" w:cs="Courier New"/>
                <w:sz w:val="18"/>
                <w:szCs w:val="18"/>
              </w:rPr>
              <w:t>status</w:t>
            </w:r>
            <w:proofErr w:type="spellEnd"/>
            <w:r>
              <w:rPr>
                <w:rFonts w:ascii="Courier New" w:eastAsia="Courier New" w:hAnsi="Courier New" w:cs="Courier New"/>
                <w:sz w:val="18"/>
                <w:szCs w:val="18"/>
              </w:rPr>
              <w:t>": "FAILED", "code": 422,</w:t>
            </w:r>
          </w:p>
          <w:p w14:paraId="65E7BCE3" w14:textId="77777777" w:rsidR="00DA42C4" w:rsidRDefault="00000000">
            <w:pPr>
              <w:spacing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error</w:t>
            </w:r>
            <w:proofErr w:type="spellEnd"/>
            <w:r>
              <w:rPr>
                <w:rFonts w:ascii="Courier New" w:eastAsia="Courier New" w:hAnsi="Courier New" w:cs="Courier New"/>
                <w:sz w:val="18"/>
                <w:szCs w:val="18"/>
              </w:rPr>
              <w:t>": "INSUFFICIENT_FUNDS", "message": "Solde insuffisant" }</w:t>
            </w:r>
          </w:p>
        </w:tc>
      </w:tr>
    </w:tbl>
    <w:p w14:paraId="4FC5C1FF" w14:textId="77777777" w:rsidR="00DA42C4" w:rsidRDefault="00DA42C4">
      <w:pPr>
        <w:spacing w:before="80" w:after="80"/>
      </w:pPr>
    </w:p>
    <w:p w14:paraId="70B0235C" w14:textId="77777777" w:rsidR="00DA42C4" w:rsidRDefault="00000000">
      <w:pPr>
        <w:pStyle w:val="Titre2"/>
      </w:pPr>
      <w:r>
        <w:t>3️⃣ Sécurité et contrôle</w:t>
      </w:r>
    </w:p>
    <w:p w14:paraId="30496474" w14:textId="77777777" w:rsidR="00DA42C4" w:rsidRDefault="00DA42C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A42C4" w14:paraId="4E2A5C6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tcPr>
          <w:p w14:paraId="0A9F7C80" w14:textId="77777777" w:rsidR="00DA42C4" w:rsidRDefault="00000000">
            <w:r>
              <w:rPr>
                <w:b/>
                <w:bCs/>
                <w:color w:val="FFFFFF"/>
              </w:rPr>
              <w:t>Axe</w:t>
            </w:r>
          </w:p>
        </w:tc>
        <w:tc>
          <w:tcPr>
            <w:tcW w:w="65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tcPr>
          <w:p w14:paraId="2378037B" w14:textId="77777777" w:rsidR="00DA42C4" w:rsidRDefault="00000000">
            <w:r>
              <w:rPr>
                <w:b/>
                <w:bCs/>
                <w:color w:val="FFFFFF"/>
              </w:rPr>
              <w:t>Mesures mises en place</w:t>
            </w:r>
          </w:p>
        </w:tc>
      </w:tr>
      <w:tr w:rsidR="00DA42C4" w14:paraId="708EA0B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tcPr>
          <w:p w14:paraId="4A26AEC8" w14:textId="77777777" w:rsidR="00DA42C4" w:rsidRDefault="00000000">
            <w:r>
              <w:rPr>
                <w:b/>
                <w:bCs/>
                <w:sz w:val="19"/>
                <w:szCs w:val="19"/>
              </w:rPr>
              <w:t>🔐 Sécuriser les transactions</w:t>
            </w:r>
          </w:p>
        </w:tc>
        <w:tc>
          <w:tcPr>
            <w:tcW w:w="6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tcPr>
          <w:p w14:paraId="490C1BAD" w14:textId="77777777" w:rsidR="00DA42C4" w:rsidRDefault="00000000">
            <w:r>
              <w:rPr>
                <w:sz w:val="19"/>
                <w:szCs w:val="19"/>
              </w:rPr>
              <w:t>Authentification JWT pour toutes les applications internes. Chiffrement HTTPS (TLS 1.3) sur tous les flux. Vérification de signature à chaque appel entrant. Contrôle des montants et des plafonds par règles métier centralisées.</w:t>
            </w:r>
          </w:p>
        </w:tc>
      </w:tr>
      <w:tr w:rsidR="00DA42C4" w14:paraId="72CC95B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AB7DF9A" w14:textId="77777777" w:rsidR="00DA42C4" w:rsidRDefault="00000000">
            <w:r>
              <w:rPr>
                <w:b/>
                <w:bCs/>
                <w:sz w:val="19"/>
                <w:szCs w:val="19"/>
              </w:rPr>
              <w:t>📊 Suivre les flux</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B09D210" w14:textId="77777777" w:rsidR="00DA42C4" w:rsidRDefault="00000000">
            <w:proofErr w:type="spellStart"/>
            <w:r>
              <w:rPr>
                <w:sz w:val="19"/>
                <w:szCs w:val="19"/>
              </w:rPr>
              <w:t>Logging</w:t>
            </w:r>
            <w:proofErr w:type="spellEnd"/>
            <w:r>
              <w:rPr>
                <w:sz w:val="19"/>
                <w:szCs w:val="19"/>
              </w:rPr>
              <w:t xml:space="preserve"> centralisé de toutes les transactions (ID, date, opérateur, statut). Tableau de bord temps réel pour le monitoring. Alertes automatiques en cas d'anomalie (pic de transactions, taux d'échec élevé). Traçabilité complète pour les audits.</w:t>
            </w:r>
          </w:p>
        </w:tc>
      </w:tr>
      <w:tr w:rsidR="00DA42C4" w14:paraId="3B5CB46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tcPr>
          <w:p w14:paraId="2D986885" w14:textId="77777777" w:rsidR="00DA42C4" w:rsidRDefault="00000000">
            <w:r>
              <w:rPr>
                <w:b/>
                <w:bCs/>
                <w:sz w:val="19"/>
                <w:szCs w:val="19"/>
              </w:rPr>
              <w:t>⚡ Gérer les erreurs</w:t>
            </w:r>
          </w:p>
        </w:tc>
        <w:tc>
          <w:tcPr>
            <w:tcW w:w="6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tcPr>
          <w:p w14:paraId="4AEE8477" w14:textId="77777777" w:rsidR="00DA42C4" w:rsidRDefault="00000000">
            <w:r>
              <w:rPr>
                <w:sz w:val="19"/>
                <w:szCs w:val="19"/>
              </w:rPr>
              <w:t xml:space="preserve">Codes d'erreur normalisés (ex. INSUFFICIENT_FUNDS, TIMEOUT, INVALID_ACCOUNT). Mécanisme de </w:t>
            </w:r>
            <w:proofErr w:type="spellStart"/>
            <w:r>
              <w:rPr>
                <w:sz w:val="19"/>
                <w:szCs w:val="19"/>
              </w:rPr>
              <w:t>retry</w:t>
            </w:r>
            <w:proofErr w:type="spellEnd"/>
            <w:r>
              <w:rPr>
                <w:sz w:val="19"/>
                <w:szCs w:val="19"/>
              </w:rPr>
              <w:t xml:space="preserve"> automatique en cas d'échec temporaire. Circuit breaker : suspension temporaire d'un opérateur défaillant. Notifications proactives à l'utilisateur final avec message clair.</w:t>
            </w:r>
          </w:p>
        </w:tc>
      </w:tr>
    </w:tbl>
    <w:p w14:paraId="6E80BD56" w14:textId="77777777" w:rsidR="00DA42C4" w:rsidRDefault="00DA42C4">
      <w:pPr>
        <w:spacing w:before="80" w:after="80"/>
      </w:pPr>
    </w:p>
    <w:p w14:paraId="1814D9CB" w14:textId="77777777" w:rsidR="00DA42C4" w:rsidRDefault="00000000">
      <w:pPr>
        <w:pStyle w:val="Titre1"/>
      </w:pPr>
      <w:r>
        <w:t>🏆 Bénéfices pour Soutra Money</w:t>
      </w:r>
    </w:p>
    <w:p w14:paraId="72F404A1" w14:textId="77777777" w:rsidR="00DA42C4" w:rsidRDefault="00DA42C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A42C4" w14:paraId="750404F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2EFDA"/>
            <w:tcMar>
              <w:top w:w="100" w:type="dxa"/>
              <w:left w:w="180" w:type="dxa"/>
              <w:bottom w:w="100" w:type="dxa"/>
              <w:right w:w="180" w:type="dxa"/>
            </w:tcMar>
          </w:tcPr>
          <w:p w14:paraId="1662840F" w14:textId="77777777" w:rsidR="00DA42C4" w:rsidRDefault="00000000">
            <w:pPr>
              <w:spacing w:before="40" w:after="40"/>
            </w:pPr>
            <w:r>
              <w:rPr>
                <w:b/>
                <w:bCs/>
                <w:color w:val="375623"/>
              </w:rPr>
              <w:t>✅ Avant / Après</w:t>
            </w:r>
          </w:p>
        </w:tc>
        <w:tc>
          <w:tcPr>
            <w:tcW w:w="4680" w:type="dxa"/>
            <w:tcBorders>
              <w:top w:val="single" w:sz="1" w:space="0" w:color="AAAAAA"/>
              <w:left w:val="single" w:sz="1" w:space="0" w:color="AAAAAA"/>
              <w:bottom w:val="single" w:sz="1" w:space="0" w:color="AAAAAA"/>
              <w:right w:val="single" w:sz="1" w:space="0" w:color="AAAAAA"/>
            </w:tcBorders>
            <w:shd w:val="clear" w:color="auto" w:fill="E2EFDA"/>
            <w:tcMar>
              <w:top w:w="100" w:type="dxa"/>
              <w:left w:w="180" w:type="dxa"/>
              <w:bottom w:w="100" w:type="dxa"/>
              <w:right w:w="180" w:type="dxa"/>
            </w:tcMar>
          </w:tcPr>
          <w:p w14:paraId="5C70F8C2" w14:textId="77777777" w:rsidR="00DA42C4" w:rsidRDefault="00000000">
            <w:pPr>
              <w:spacing w:before="40" w:after="40"/>
            </w:pPr>
            <w:r>
              <w:rPr>
                <w:b/>
                <w:bCs/>
                <w:color w:val="375623"/>
              </w:rPr>
              <w:t>Avec l'API Gateway</w:t>
            </w:r>
          </w:p>
        </w:tc>
      </w:tr>
      <w:tr w:rsidR="00DA42C4" w14:paraId="3B154AE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80" w:type="dxa"/>
              <w:bottom w:w="80" w:type="dxa"/>
              <w:right w:w="180" w:type="dxa"/>
            </w:tcMar>
          </w:tcPr>
          <w:p w14:paraId="364047EF" w14:textId="77777777" w:rsidR="00DA42C4" w:rsidRDefault="00000000">
            <w:r>
              <w:rPr>
                <w:color w:val="CC0000"/>
                <w:sz w:val="19"/>
                <w:szCs w:val="19"/>
              </w:rPr>
              <w:t>❌ 4 intégrations à maintenir</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80" w:type="dxa"/>
              <w:bottom w:w="80" w:type="dxa"/>
              <w:right w:w="180" w:type="dxa"/>
            </w:tcMar>
          </w:tcPr>
          <w:p w14:paraId="5B147690" w14:textId="77777777" w:rsidR="00DA42C4" w:rsidRDefault="00000000">
            <w:r>
              <w:rPr>
                <w:color w:val="006600"/>
                <w:sz w:val="19"/>
                <w:szCs w:val="19"/>
              </w:rPr>
              <w:t>✅ 1 seule couche à maintenir</w:t>
            </w:r>
          </w:p>
        </w:tc>
      </w:tr>
      <w:tr w:rsidR="00DA42C4" w14:paraId="0129DCE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80" w:type="dxa"/>
              <w:bottom w:w="80" w:type="dxa"/>
              <w:right w:w="180" w:type="dxa"/>
            </w:tcMar>
          </w:tcPr>
          <w:p w14:paraId="3AE6680A" w14:textId="77777777" w:rsidR="00DA42C4" w:rsidRDefault="00000000">
            <w:r>
              <w:rPr>
                <w:color w:val="CC0000"/>
                <w:sz w:val="19"/>
                <w:szCs w:val="19"/>
              </w:rPr>
              <w:t>❌ Formats de données disparates</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80" w:type="dxa"/>
              <w:bottom w:w="80" w:type="dxa"/>
              <w:right w:w="180" w:type="dxa"/>
            </w:tcMar>
          </w:tcPr>
          <w:p w14:paraId="34321A5B" w14:textId="77777777" w:rsidR="00DA42C4" w:rsidRDefault="00000000">
            <w:r>
              <w:rPr>
                <w:color w:val="006600"/>
                <w:sz w:val="19"/>
                <w:szCs w:val="19"/>
              </w:rPr>
              <w:t>✅ 1 format JSON standardisé</w:t>
            </w:r>
          </w:p>
        </w:tc>
      </w:tr>
      <w:tr w:rsidR="00DA42C4" w14:paraId="36A970E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80" w:type="dxa"/>
              <w:bottom w:w="80" w:type="dxa"/>
              <w:right w:w="180" w:type="dxa"/>
            </w:tcMar>
          </w:tcPr>
          <w:p w14:paraId="3E0CDE44" w14:textId="77777777" w:rsidR="00DA42C4" w:rsidRDefault="00000000">
            <w:r>
              <w:rPr>
                <w:color w:val="CC0000"/>
                <w:sz w:val="19"/>
                <w:szCs w:val="19"/>
              </w:rPr>
              <w:t>❌ Développeur requis pour chaque changement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80" w:type="dxa"/>
              <w:bottom w:w="80" w:type="dxa"/>
              <w:right w:w="180" w:type="dxa"/>
            </w:tcMar>
          </w:tcPr>
          <w:p w14:paraId="0EB7A7B5" w14:textId="77777777" w:rsidR="00DA42C4" w:rsidRDefault="00000000">
            <w:r>
              <w:rPr>
                <w:color w:val="006600"/>
                <w:sz w:val="19"/>
                <w:szCs w:val="19"/>
              </w:rPr>
              <w:t>✅ Règles modifiables via configuration</w:t>
            </w:r>
          </w:p>
        </w:tc>
      </w:tr>
      <w:tr w:rsidR="00DA42C4" w14:paraId="55AC06A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80" w:type="dxa"/>
              <w:bottom w:w="80" w:type="dxa"/>
              <w:right w:w="180" w:type="dxa"/>
            </w:tcMar>
          </w:tcPr>
          <w:p w14:paraId="1D5CC621" w14:textId="77777777" w:rsidR="00DA42C4" w:rsidRDefault="00000000">
            <w:r>
              <w:rPr>
                <w:color w:val="CC0000"/>
                <w:sz w:val="19"/>
                <w:szCs w:val="19"/>
              </w:rPr>
              <w:t>❌ Pas de visibilité sur les flux</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80" w:type="dxa"/>
              <w:bottom w:w="80" w:type="dxa"/>
              <w:right w:w="180" w:type="dxa"/>
            </w:tcMar>
          </w:tcPr>
          <w:p w14:paraId="0B2997AA" w14:textId="77777777" w:rsidR="00DA42C4" w:rsidRDefault="00000000">
            <w:r>
              <w:rPr>
                <w:color w:val="006600"/>
                <w:sz w:val="19"/>
                <w:szCs w:val="19"/>
              </w:rPr>
              <w:t>✅ Monitoring centralisé en temps réel</w:t>
            </w:r>
          </w:p>
        </w:tc>
      </w:tr>
      <w:tr w:rsidR="00DA42C4" w14:paraId="3D29B08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80" w:type="dxa"/>
              <w:bottom w:w="80" w:type="dxa"/>
              <w:right w:w="180" w:type="dxa"/>
            </w:tcMar>
          </w:tcPr>
          <w:p w14:paraId="43885A2F" w14:textId="77777777" w:rsidR="00DA42C4" w:rsidRDefault="00000000">
            <w:r>
              <w:rPr>
                <w:color w:val="CC0000"/>
                <w:sz w:val="19"/>
                <w:szCs w:val="19"/>
              </w:rPr>
              <w:t>❌ Ajouter un opérateur = 3 mois de dev</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80" w:type="dxa"/>
              <w:bottom w:w="80" w:type="dxa"/>
              <w:right w:w="180" w:type="dxa"/>
            </w:tcMar>
          </w:tcPr>
          <w:p w14:paraId="60F8A047" w14:textId="77777777" w:rsidR="00DA42C4" w:rsidRDefault="00000000">
            <w:r>
              <w:rPr>
                <w:color w:val="006600"/>
                <w:sz w:val="19"/>
                <w:szCs w:val="19"/>
              </w:rPr>
              <w:t>✅ Ajouter un opérateur = 2 semaines max</w:t>
            </w:r>
          </w:p>
        </w:tc>
      </w:tr>
    </w:tbl>
    <w:p w14:paraId="4EC8D2DC" w14:textId="1F69EB84" w:rsidR="00DA42C4" w:rsidRDefault="00DA42C4" w:rsidP="00B13F0A">
      <w:pPr>
        <w:pBdr>
          <w:top w:val="single" w:sz="4" w:space="0" w:color="1F4E79"/>
        </w:pBdr>
        <w:spacing w:before="200" w:after="40"/>
      </w:pPr>
    </w:p>
    <w:sectPr w:rsidR="00DA42C4">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A112B"/>
    <w:multiLevelType w:val="hybridMultilevel"/>
    <w:tmpl w:val="9078B4AC"/>
    <w:lvl w:ilvl="0" w:tplc="E36C2350">
      <w:start w:val="1"/>
      <w:numFmt w:val="bullet"/>
      <w:lvlText w:val="●"/>
      <w:lvlJc w:val="left"/>
      <w:pPr>
        <w:ind w:left="720" w:hanging="360"/>
      </w:pPr>
    </w:lvl>
    <w:lvl w:ilvl="1" w:tplc="FF120670">
      <w:start w:val="1"/>
      <w:numFmt w:val="bullet"/>
      <w:lvlText w:val="○"/>
      <w:lvlJc w:val="left"/>
      <w:pPr>
        <w:ind w:left="1440" w:hanging="360"/>
      </w:pPr>
    </w:lvl>
    <w:lvl w:ilvl="2" w:tplc="3376B08A">
      <w:start w:val="1"/>
      <w:numFmt w:val="bullet"/>
      <w:lvlText w:val="■"/>
      <w:lvlJc w:val="left"/>
      <w:pPr>
        <w:ind w:left="2160" w:hanging="360"/>
      </w:pPr>
    </w:lvl>
    <w:lvl w:ilvl="3" w:tplc="4CB2CFD8">
      <w:start w:val="1"/>
      <w:numFmt w:val="bullet"/>
      <w:lvlText w:val="●"/>
      <w:lvlJc w:val="left"/>
      <w:pPr>
        <w:ind w:left="2880" w:hanging="360"/>
      </w:pPr>
    </w:lvl>
    <w:lvl w:ilvl="4" w:tplc="3DE01C5E">
      <w:start w:val="1"/>
      <w:numFmt w:val="bullet"/>
      <w:lvlText w:val="○"/>
      <w:lvlJc w:val="left"/>
      <w:pPr>
        <w:ind w:left="3600" w:hanging="360"/>
      </w:pPr>
    </w:lvl>
    <w:lvl w:ilvl="5" w:tplc="9EDE2224">
      <w:start w:val="1"/>
      <w:numFmt w:val="bullet"/>
      <w:lvlText w:val="■"/>
      <w:lvlJc w:val="left"/>
      <w:pPr>
        <w:ind w:left="4320" w:hanging="360"/>
      </w:pPr>
    </w:lvl>
    <w:lvl w:ilvl="6" w:tplc="3BE8B190">
      <w:start w:val="1"/>
      <w:numFmt w:val="bullet"/>
      <w:lvlText w:val="●"/>
      <w:lvlJc w:val="left"/>
      <w:pPr>
        <w:ind w:left="5040" w:hanging="360"/>
      </w:pPr>
    </w:lvl>
    <w:lvl w:ilvl="7" w:tplc="982C78D2">
      <w:start w:val="1"/>
      <w:numFmt w:val="bullet"/>
      <w:lvlText w:val="●"/>
      <w:lvlJc w:val="left"/>
      <w:pPr>
        <w:ind w:left="5760" w:hanging="360"/>
      </w:pPr>
    </w:lvl>
    <w:lvl w:ilvl="8" w:tplc="8212869A">
      <w:start w:val="1"/>
      <w:numFmt w:val="bullet"/>
      <w:lvlText w:val="●"/>
      <w:lvlJc w:val="left"/>
      <w:pPr>
        <w:ind w:left="6480" w:hanging="360"/>
      </w:pPr>
    </w:lvl>
  </w:abstractNum>
  <w:abstractNum w:abstractNumId="1" w15:restartNumberingAfterBreak="0">
    <w:nsid w:val="64EF682E"/>
    <w:multiLevelType w:val="hybridMultilevel"/>
    <w:tmpl w:val="0B169550"/>
    <w:lvl w:ilvl="0" w:tplc="892E0992">
      <w:start w:val="1"/>
      <w:numFmt w:val="bullet"/>
      <w:lvlText w:val="•"/>
      <w:lvlJc w:val="left"/>
      <w:pPr>
        <w:ind w:left="720" w:hanging="360"/>
      </w:pPr>
    </w:lvl>
    <w:lvl w:ilvl="1" w:tplc="91666360">
      <w:numFmt w:val="decimal"/>
      <w:lvlText w:val=""/>
      <w:lvlJc w:val="left"/>
    </w:lvl>
    <w:lvl w:ilvl="2" w:tplc="C0BA56A6">
      <w:numFmt w:val="decimal"/>
      <w:lvlText w:val=""/>
      <w:lvlJc w:val="left"/>
    </w:lvl>
    <w:lvl w:ilvl="3" w:tplc="8466D8EA">
      <w:numFmt w:val="decimal"/>
      <w:lvlText w:val=""/>
      <w:lvlJc w:val="left"/>
    </w:lvl>
    <w:lvl w:ilvl="4" w:tplc="2B3C26A2">
      <w:numFmt w:val="decimal"/>
      <w:lvlText w:val=""/>
      <w:lvlJc w:val="left"/>
    </w:lvl>
    <w:lvl w:ilvl="5" w:tplc="776A9840">
      <w:numFmt w:val="decimal"/>
      <w:lvlText w:val=""/>
      <w:lvlJc w:val="left"/>
    </w:lvl>
    <w:lvl w:ilvl="6" w:tplc="7C98363E">
      <w:numFmt w:val="decimal"/>
      <w:lvlText w:val=""/>
      <w:lvlJc w:val="left"/>
    </w:lvl>
    <w:lvl w:ilvl="7" w:tplc="4D7ACAB6">
      <w:numFmt w:val="decimal"/>
      <w:lvlText w:val=""/>
      <w:lvlJc w:val="left"/>
    </w:lvl>
    <w:lvl w:ilvl="8" w:tplc="56AEC5FA">
      <w:numFmt w:val="decimal"/>
      <w:lvlText w:val=""/>
      <w:lvlJc w:val="left"/>
    </w:lvl>
  </w:abstractNum>
  <w:num w:numId="1" w16cid:durableId="1503350953">
    <w:abstractNumId w:val="0"/>
    <w:lvlOverride w:ilvl="0">
      <w:startOverride w:val="1"/>
    </w:lvlOverride>
  </w:num>
  <w:num w:numId="2" w16cid:durableId="9104999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2C4"/>
    <w:rsid w:val="00B13F0A"/>
    <w:rsid w:val="00D80892"/>
    <w:rsid w:val="00DA42C4"/>
    <w:rsid w:val="00EC4A6B"/>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D5251"/>
  <w15:docId w15:val="{C832E616-95D9-44F2-BE14-CBDC742CE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1F4E79"/>
      <w:sz w:val="28"/>
      <w:szCs w:val="28"/>
    </w:rPr>
  </w:style>
  <w:style w:type="paragraph" w:styleId="Titre2">
    <w:name w:val="heading 2"/>
    <w:uiPriority w:val="9"/>
    <w:unhideWhenUsed/>
    <w:qFormat/>
    <w:pPr>
      <w:spacing w:before="240" w:after="120"/>
      <w:outlineLvl w:val="1"/>
    </w:pPr>
    <w:rPr>
      <w:b/>
      <w:bCs/>
      <w:color w:val="C55A11"/>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804</Words>
  <Characters>4424</Characters>
  <Application>Microsoft Office Word</Application>
  <DocSecurity>0</DocSecurity>
  <Lines>36</Lines>
  <Paragraphs>10</Paragraphs>
  <ScaleCrop>false</ScaleCrop>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mamadou bachir diallo</cp:lastModifiedBy>
  <cp:revision>3</cp:revision>
  <dcterms:created xsi:type="dcterms:W3CDTF">2026-03-04T10:44:00Z</dcterms:created>
  <dcterms:modified xsi:type="dcterms:W3CDTF">2026-04-16T23:05:00Z</dcterms:modified>
</cp:coreProperties>
</file>