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 Challenge — Fase 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57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Guilherme Lima Montanhini — guilherme.lima.montanhini@gmail.com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Thalles Lopes Mendonça de Freitas — lopthalles@gmail.com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Bruna Machado Gravina — brunagravina23@outlook.com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Marcos Wellington Oliveira Costa — marcoswoc@gmail.com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Elber Fernandes Gomes Galiza — </w:t>
      </w:r>
      <w:hyperlink r:id="rId6">
        <w:r w:rsidDel="00000000" w:rsidR="00000000" w:rsidRPr="00000000">
          <w:rPr>
            <w:rFonts w:ascii="Arial" w:cs="Arial" w:eastAsia="Arial" w:hAnsi="Arial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elbergaliza@gmail.com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Repositório: https://github.com/elbergaliza/Tech-Challenge-FIAP-FASE5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Introdução</w:t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Descrição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relatório apresenta o Agente SDR Imobiliário desenvolvido no Tech Challenge da Fase 5 da Pós-graduação em Inteligência Artificial para Desenvolvedores da FIAP. O sistema automatiza a qualificação inicial de leads de uma imobiliária, desde o primeiro contato até o encaminhamento da oportunidade ao corretor.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conversa, o agente identifica as necessidades do interessado, recomenda imóveis compatíveis e permite o agendamento de visitas. As informações coletadas são consolidadas em um perfil utilizado para priorizar e apoiar o atendimento pelo corretor.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Projeto escolhido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qualificação de leads imobiliários foi escolhida por representar um processo de negócio com etapas e resultados bem definidos. O desafio consiste em identificar as necessidades do interessado durante a conversa e fornecer ao corretor informações suficientes para priorizar o atendimento.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Objetivos do Projeto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Qualificar o lead por meio de uma conversa natural e oferecer o agendamento quando o perfil estiver completo.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Recomendar imóveis combinando filtros estruturados e similaridade semântica.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Manter memória conversacional e pseudonimizar dados pessoais enviados aos serviços externos.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Priorizar leads por meio de um score interpretável e controlar o follow-up conforme consentimento e interação.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Integrar agente, memória, backend e frontend em uma aplicação executável.</w:t>
      </w:r>
    </w:p>
    <w:p w:rsidR="00000000" w:rsidDel="00000000" w:rsidP="00000000" w:rsidRDefault="00000000" w:rsidRPr="00000000" w14:paraId="0000001A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 Fundamentação Teórica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 Agente Conversacional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Agentes conversacionais utilizam LLMs com instruções que definem seu comportamento e orientam a interação com o usuário. O prompt de persona estabelece como o agente deve conduzir a conversa, enquanto o contexto permite considerar informações fornecidas anteriormente. No projeto, esses recursos são utilizados para qualificar o lead e conduzir a conversa uma informação por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 Extração de Dados por Expressões Regulares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Expressões regulares permitem identificar informações estruturadas em textos a partir de padrões conhecidos. A abordagem é determinística e de baixo custo, sendo adequada para dados previsíveis sem exigir chamadas adicionais ao modelo. No projeto, elas transformam informações da conversa, como região, preço e contato, em campos estruturados do perfil do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1.3 Recuperação Aumentada por Geração (RAG)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RAG combina geração de texto com informações recuperadas de uma base externa. Filtros estruturados restringem os resultados por critérios objetivos, enquanto a similaridade semântica ajuda a encontrar e ordenar os itens mais relevantes. No projeto, essa combinação permite recomendar imóveis compatíveis com as preferências informadas pelo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 Memória Conversacional e Pseudonimização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memória conversacional mantém informações relevantes entre turnos, permitindo que o agente considere o histórico sem depender apenas da mensagem atual. A pseudonimização substitui informações identificáveis antes do envio a serviços externos. No projeto, as duas técnicas permitem preservar o contexto sem expor diretamente dados como nome, e-mail e telefone ao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 Score de Temperatura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score de temperatura transforma características do lead em uma medida de prioridade para atendimento. Quando calculado a partir de fatores e pesos explícitos, o resultado é interpretável e reproduzível. No projeto, o score considera informações do perfil e da interação para ajudar o corretor a identificar quais leads demandam maior atenção.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Dados Utilizados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 Base Sintética de Imóveis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base contém 140 imóveis sintéticos distribuídos por 20 bairros do Rio de Janeiro, com anúncios de venda e aluguel e diferentes tipos de propriedade. Os registros incluem informações como localização, preço, área, quartos e vagas.</w:t>
      </w:r>
    </w:p>
    <w:p w:rsidR="00000000" w:rsidDel="00000000" w:rsidP="00000000" w:rsidRDefault="00000000" w:rsidRPr="00000000" w14:paraId="0000002A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 Arquitetura da Solução</w:t>
      </w:r>
    </w:p>
    <w:p w:rsidR="00000000" w:rsidDel="00000000" w:rsidP="00000000" w:rsidRDefault="00000000" w:rsidRPr="00000000" w14:paraId="0000002B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3.1 Visão Geral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tem quatro partes integradas pela API Python: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ai-core/ — Parte 1, o agente de IA que conversa e extrai dados;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ai-memory-rag/ — Parte 2, memória, RAG, resumo, score e follow-up;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backend/ — Parte 3, FastAPI, SQLite, agendamentos e job de retomada;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frontend/ — Parte 4, chat do lead e painel do corretor;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shared/ — a base de imóveis e os JSON Schemas, consumidos pelas partes 2, 3 e 4.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partes de IA são importadas como módulo, não chamadas por HTTP. A demo roda em um processo só. O fluxo de uma mensagem passa pelas quatro partes: a tela envia para a API, a memória absorve e mascara, o RAG busca, o agente escreve com esse contexto, a memória grava o que mudou e a tela mostra resposta, etiquetas, perfil e imóveis.</w:t>
      </w:r>
    </w:p>
    <w:p w:rsidR="00000000" w:rsidDel="00000000" w:rsidP="00000000" w:rsidRDefault="00000000" w:rsidRPr="00000000" w14:paraId="00000035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3.2 Estrutura de Arquivos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sockeye/</w:t>
        <w:br w:type="textWrapping"/>
        <w:t xml:space="preserve">  ai-core/            agente de IA + extração por regex (Parte 1)</w:t>
        <w:br w:type="textWrapping"/>
        <w:t xml:space="preserve">  ai-memory-rag/      memória, RAG, resumo, score, follow-up (Parte 2)</w:t>
        <w:br w:type="textWrapping"/>
        <w:t xml:space="preserve">  backend/            API FastAPI, SQLite, job de retomada (Parte 3)</w:t>
        <w:br w:type="textWrapping"/>
        <w:t xml:space="preserve">  frontend/           chat e painel em React (Parte 4)</w:t>
        <w:br w:type="textWrapping"/>
        <w:t xml:space="preserve">  shared/             imoveis.json e schemas</w:t>
        <w:br w:type="textWrapping"/>
        <w:t xml:space="preserve">  docs/               manual em PDF, roteiro de teste, limites de privacidade</w:t>
      </w:r>
    </w:p>
    <w:p w:rsidR="00000000" w:rsidDel="00000000" w:rsidP="00000000" w:rsidRDefault="00000000" w:rsidRPr="00000000" w14:paraId="00000037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3.3 Módulo de 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ai-core/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concentra a interação com o LLM e a extração estruturada das mensagens. O módulo recebe do backend a mensagem do lead junto com o contexto preparado pela memória e pelo RAG, gera a resposta e devolve os dados necessários para a continuidade da conversa.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 agente simulado mantém o fluxo básico quando a API externa não está disponível.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3.4 Módulo de Memória e RAG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ai-memory-rag/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concentra o estado da conversa e os recursos usados para contextualizar as respostas. O módulo mantém o perfil e o histórico do lead, prepara o contexto enviado ao agente e recupera os imóveis utilizados nas recomendações.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mesmo componente também reúne o resumo do histórico, o cálculo do score e as regras de follow-up. O índice semântico é persistido em disco e possui busca lexical como alternativa quando a busca por embeddings não está disponível.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3.5 Backend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9050" distT="19050" distL="19050" distR="19050">
            <wp:extent cx="5943600" cy="330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backend/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funciona como ponto de integração da aplicação. A API em FastAPI conecta o agente, a memória e o RAG ao frontend e centraliza em SQLite a persistência de conversas, perfis, agendamentos e demais dados do lead.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backend também executa o processo periódico de follow-up e disponibiliza ao painel os dados necessários para consulta e ordenação dos leads.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3.6 Módulo Frontend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9050" distT="19050" distL="19050" distR="19050">
            <wp:extent cx="5943600" cy="292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frontend/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concentra as interfaces utilizadas pelo lead e pelo corretor. O chat envia as mensagens para a API e apresenta respostas, imóveis e informações da conversa, enquanto o painel reúne leads, agenda e catálogo.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interface consome os dados preparados pelo backend e mantém as chamadas que utilizam o LLM associadas a ações explícitas do usuário.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 Metodologia</w:t>
      </w:r>
    </w:p>
    <w:p w:rsidR="00000000" w:rsidDel="00000000" w:rsidP="00000000" w:rsidRDefault="00000000" w:rsidRPr="00000000" w14:paraId="00000050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4.1 Pipeline do Turno de Conversa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turno segue uma ordem fixa: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rial" w:cs="Arial" w:eastAsia="Arial" w:hAnsi="Arial"/>
          <w:color w:val="188038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2"/>
          <w:szCs w:val="22"/>
          <w:rtl w:val="0"/>
        </w:rPr>
        <w:t xml:space="preserve">start_turn → memória absorve a mensagem → contexto refeito → RAG → agente → finish_turn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ordem importa.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memória absorve a mensagem antes de o agente responder, para que cada decisão já considere o que o lead acabou de dizer. Na primeira versão, a absorção acontecia no fim do turno: o agente decidia a próxima pergunta lendo um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perfil defasado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e, na prática, podia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perguntar de novo algo respondido segundos antes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Antecipar a absorção elimina esse atraso de um turno e garante que o prompt seja montado com 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perfil atualizado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4.2 Pipeline da Busca de Imóveis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busca tem quatro etapas: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Filtro por preço, quartos, vagas, tipo de negócio, região e raio.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Ranking semântico por similaridade entre os imóveis compatíveis.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 do ranking considerando bairro, quartos, orçamento e rentabilidade.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Ampliação gradual dos critérios quando nenhum imóvel é encontrado.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não há resultados, as restrições são ampliadas uma de cada vez, começando pelas menos importantes para o lead. Cada nova busca parte dos critérios originais, preservando as informações usadas pelo agente na recomendação.</w:t>
      </w:r>
    </w:p>
    <w:p w:rsidR="00000000" w:rsidDel="00000000" w:rsidP="00000000" w:rsidRDefault="00000000" w:rsidRPr="00000000" w14:paraId="0000005C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4.3 Score de Temperatura e Follow-up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score transforma o perfil do lead em prioridade. Intenção, contato, faixa de preço, urgência, região, quartos e engajamento somam pontos com pesos diferentes.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 telefone aumenta significativamente o score: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mesmo um lead com forte intenção perde prioridade se o corretor não consegue contatá-lo.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regra também muda conforme o perfil. Para um comprador, preço e quartos ajudam a medir aderência. Para um investidor, entram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ticket e retorno esperado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O tempo também pesa: o silêncio reduz o score para evitar que um lead antigo permaneça acima de outro que acabou de demonstrar interesse.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follow-up segue uma cadência de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24 horas, 3 dias e 7 dias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com limite de tentativas, e encurta quando o lead declara urgência. Se ele voltar a conversar, o contador é zerado.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Há ainda três travas: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sem consentimento, não envia; pediu para parar, bloqueia; respondeu, reinicia a cadência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Cada follow-up também recupera algo que o próprio lead disse, evitando mensagens genéricas.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br w:type="textWrapping"/>
        <w:t xml:space="preserve">5. Resultados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foi validada por 706 testes, verificações e cenários automatizados, abrangendo os componentes de IA, backend, frontend e os fluxos executados pela interface.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cenários de conversa, o agente manteve as informações fornecidas pelo lead entre os turnos e direcionou as perguntas seguintes aos campos ainda não preenchidos. A recuperação de imóveis considerou o perfil acumulado durante a conversa, e o agendamento foi disponibilizado somente após o preenchimento dos campos necessários.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Desafios e Dificuldades Encontradas</w:t>
      </w:r>
    </w:p>
    <w:p w:rsidR="00000000" w:rsidDel="00000000" w:rsidP="00000000" w:rsidRDefault="00000000" w:rsidRPr="00000000" w14:paraId="00000067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6.1 Enriquecer a Mensagem Corrompia o Perfil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backend extrai das mensagens informações como intenção, região e orçamento, enquanto memória e RAG adicionam contexto para gerar a resposta.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extração era feita sobre a mensagem já enriquecida e podia interpretar dados dos imóveis como informações fornecidas pelo lead. Bairro e preço, por exemplo, podiam virar região desejada e orçamento.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Correção.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extração passou a considerar somente a mensagem original. Memória e RAG continuam disponíveis para gerar a resposta, mas não participam da atualização do perfil.</w:t>
      </w:r>
    </w:p>
    <w:p w:rsidR="00000000" w:rsidDel="00000000" w:rsidP="00000000" w:rsidRDefault="00000000" w:rsidRPr="00000000" w14:paraId="0000006B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6.2 A Urgência Baixa Padrão Travava o Perfil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urgência é extraída da conversa e armazenada no perfil para indicar se o prazo ainda precisa ser perguntado.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 ausência de indicação de prazo, a extração atribuía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baixa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como padrão. Assim, uma mensagem sem qualquer informação sobre urgência já preenchia o campo e impedia que o agente perguntasse sobre ele depois.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Correção.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campo passou a permanecer indefinido quando não há evidência de urgência. </w:t>
      </w:r>
      <w:r w:rsidDel="00000000" w:rsidR="00000000" w:rsidRPr="00000000">
        <w:rPr>
          <w:rFonts w:ascii="Arial" w:cs="Arial" w:eastAsia="Arial" w:hAnsi="Arial"/>
          <w:color w:val="188038"/>
          <w:sz w:val="22"/>
          <w:szCs w:val="22"/>
          <w:rtl w:val="0"/>
        </w:rPr>
        <w:t xml:space="preserve">Baixa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só é registrada quando sustentada por expressões como “sem pressa”.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6.3 Regressão Silenciosa de Privacidade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backend pseudonimiza dados pessoais antes de enviá-los aos serviços de IA.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geração de embeddings seguia um fluxo separado e podia enviar nome, e-mail e telefone sem o mesmo tratamento aplicado às demais chamadas.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Correção.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tratamento da entrada foi centralizado para incluir também os embeddings, e o fluxo passou a ser coberto por teste automatizado.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6.4 Divergência Entre o Prompt e a Ordem de Coleta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backend mantém os campos necessários para completar o perfil e orientar as perguntas do agente.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prompt e o backend definiam essa ordem separadamente. Isso podia associar respostas curtas ao campo errado e fazia com que o telefone, obrigatório para liberar o agendamento, não fosse solicitado.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Correção.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prompt passou a usar a mesma definição de campos do backend, incluindo o telefone, com teste do fluxo completo até a liberação do agendamento.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Segurança e Considerações Éticas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pessoais presentes na conversa são pseudonimizados antes do envio aos serviços externos utilizados pelo sistema. Nome, e-mail e telefone são substituídos temporariamente, enquanto informações necessárias à qualificação e à recomendação de imóveis permanecem disponíveis. A substituição é revertida antes que a resposta seja apresentada ao lead.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limitação de escopo, a aplicação não implementa autenticação nem separação de acesso entre lead e corretor. O usuário também é informado de que a conversa utiliza um serviço externo de IA, mas esse aviso não constitui um mecanismo formal de consentimento.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Conclusões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Tech Challenge Fase 5 resultou em um agente SDR imobiliário que integra conversa, qualificação de leads, recomendação de imóveis, agendamento e acompanhamento pelo corretor. A solução combina o uso de LLM com regras determinísticas, memória conversacional e RAG, mantendo separadas a geração das respostas e a atualização dos dados estruturados. Os testes validaram o funcionamento integrado dos principais fluxos da aplicação, incluindo a manutenção do perfil entre turnos, a recuperação de imóveis, o agendamento e a pseudonimização dos dados pessoais enviados aos serviços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9.Referências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Google. Gemini API. Disponível em: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https://ai.google.dev/gemini-api/docs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Lewis, P. et al. </w:t>
      </w:r>
      <w:r w:rsidDel="00000000" w:rsidR="00000000" w:rsidRPr="00000000">
        <w:rPr>
          <w:i w:val="1"/>
          <w:iCs w:val="1"/>
          <w:rtl w:val="0"/>
        </w:rPr>
        <w:t xml:space="preserve">Retrieval-Augmented Generation for Knowledge-Intensive NLP Tasks</w:t>
      </w:r>
      <w:r w:rsidDel="00000000" w:rsidR="00000000" w:rsidRPr="00000000">
        <w:rPr>
          <w:rtl w:val="0"/>
        </w:rPr>
        <w:t xml:space="preserve">. 2020. Disponível em: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https://arxiv.org/abs/2005.11401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Brasil. Lei nº 13.709, de 14 de agosto de 2018. Lei Geral de Proteção de Dados Pessoais (LGPD). Disponível em: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https://www.planalto.gov.br/ccivil_03/_ato2015-2018/2018/lei/l13709.htm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React. Documentação oficial. Disponível em: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https://react.dev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FastAPI. Documentação oficial. Disponível em: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Vite. Documentação oficial. Disponível em: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https://vite.dev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Tailwind CSS. Documentação oficial. Disponível em: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https://tailwindcss.com/docs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Vitest. Documentação oficial. Disponível em: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https://vitest.dev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SQLite. Documentação oficial. Disponível em: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https://www.sqlite.org/docs.html</w:t>
        </w:r>
      </w:hyperlink>
      <w:r w:rsidDel="00000000" w:rsidR="00000000" w:rsidRPr="00000000">
        <w:rPr>
          <w:rtl w:val="0"/>
        </w:rPr>
        <w:t xml:space="preserve">. Acesso em: 16 set. 2026.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FIAP. Pós-graduação em Inteligência Artificial para Desenvolvedores. Materiais das disciplinas de IA Generativa, RAG, Privacidade e Proteção de Dados e Análise de Documentos com Azure.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76" w:lineRule="auto"/>
        <w:ind w:left="3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60" w:hanging="36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360" w:hanging="36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b8c2cc" w:space="4" w:sz="4" w:val="single"/>
      </w:pBdr>
      <w:spacing w:after="160" w:before="360" w:lineRule="auto"/>
    </w:pPr>
    <w:rPr>
      <w:rFonts w:ascii="Aptos" w:cs="Aptos" w:eastAsia="Aptos" w:hAnsi="Aptos"/>
      <w:b w:val="1"/>
      <w:bCs w:val="1"/>
      <w:color w:val="3e5a7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60" w:lineRule="auto"/>
    </w:pPr>
    <w:rPr>
      <w:rFonts w:ascii="Aptos" w:cs="Aptos" w:eastAsia="Aptos" w:hAnsi="Aptos"/>
      <w:b w:val="1"/>
      <w:bCs w:val="1"/>
      <w:color w:val="2e445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Aptos" w:cs="Aptos" w:eastAsia="Aptos" w:hAnsi="Aptos"/>
      <w:b w:val="1"/>
      <w:bCs w:val="1"/>
      <w:color w:val="40404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Aptos" w:cs="Aptos" w:eastAsia="Aptos" w:hAnsi="Aptos"/>
      <w:b w:val="1"/>
      <w:bCs w:val="1"/>
      <w:color w:val="2e4457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Aptos" w:cs="Aptos" w:eastAsia="Aptos" w:hAnsi="Aptos"/>
      <w:b w:val="1"/>
      <w:bCs w:val="1"/>
      <w:color w:val="2e4457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astapi.tiangolo.com" TargetMode="External"/><Relationship Id="rId22" Type="http://schemas.openxmlformats.org/officeDocument/2006/relationships/hyperlink" Target="https://vite.dev" TargetMode="External"/><Relationship Id="rId21" Type="http://schemas.openxmlformats.org/officeDocument/2006/relationships/hyperlink" Target="https://vite.dev" TargetMode="External"/><Relationship Id="rId24" Type="http://schemas.openxmlformats.org/officeDocument/2006/relationships/hyperlink" Target="https://tailwindcss.com/docs" TargetMode="External"/><Relationship Id="rId23" Type="http://schemas.openxmlformats.org/officeDocument/2006/relationships/hyperlink" Target="https://tailwindcss.com/doc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vitest.dev" TargetMode="External"/><Relationship Id="rId25" Type="http://schemas.openxmlformats.org/officeDocument/2006/relationships/hyperlink" Target="https://vitest.dev" TargetMode="External"/><Relationship Id="rId28" Type="http://schemas.openxmlformats.org/officeDocument/2006/relationships/hyperlink" Target="https://www.sqlite.org/docs.html" TargetMode="External"/><Relationship Id="rId27" Type="http://schemas.openxmlformats.org/officeDocument/2006/relationships/hyperlink" Target="https://www.sqlite.org/docs.html" TargetMode="External"/><Relationship Id="rId5" Type="http://schemas.openxmlformats.org/officeDocument/2006/relationships/styles" Target="styles.xml"/><Relationship Id="rId6" Type="http://schemas.openxmlformats.org/officeDocument/2006/relationships/hyperlink" Target="mailto:elbergaliza@gmail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hyperlink" Target="https://ai.google.dev/gemini-api/docs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arxiv.org/abs/2005.11401" TargetMode="External"/><Relationship Id="rId12" Type="http://schemas.openxmlformats.org/officeDocument/2006/relationships/hyperlink" Target="https://ai.google.dev/gemini-api/docs" TargetMode="External"/><Relationship Id="rId15" Type="http://schemas.openxmlformats.org/officeDocument/2006/relationships/hyperlink" Target="https://www.planalto.gov.br/ccivil_03/_ato2015-2018/2018/lei/l13709.htm" TargetMode="External"/><Relationship Id="rId14" Type="http://schemas.openxmlformats.org/officeDocument/2006/relationships/hyperlink" Target="https://arxiv.org/abs/2005.11401" TargetMode="External"/><Relationship Id="rId17" Type="http://schemas.openxmlformats.org/officeDocument/2006/relationships/hyperlink" Target="https://react.dev" TargetMode="External"/><Relationship Id="rId16" Type="http://schemas.openxmlformats.org/officeDocument/2006/relationships/hyperlink" Target="https://www.planalto.gov.br/ccivil_03/_ato2015-2018/2018/lei/l13709.htm" TargetMode="External"/><Relationship Id="rId19" Type="http://schemas.openxmlformats.org/officeDocument/2006/relationships/hyperlink" Target="https://fastapi.tiangolo.com" TargetMode="External"/><Relationship Id="rId18" Type="http://schemas.openxmlformats.org/officeDocument/2006/relationships/hyperlink" Target="https://react.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