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0BCAD" w14:textId="77777777" w:rsidR="00710AE3" w:rsidRDefault="00710AE3">
      <w:pPr>
        <w:spacing w:before="80" w:after="50"/>
        <w:jc w:val="center"/>
        <w:rPr>
          <w:rFonts w:ascii="Arial" w:eastAsia="Arial" w:hAnsi="Arial" w:cs="Arial"/>
          <w:i/>
          <w:iCs/>
          <w:color w:val="6B7280"/>
          <w:sz w:val="19"/>
          <w:szCs w:val="19"/>
        </w:rPr>
      </w:pPr>
    </w:p>
    <w:p w14:paraId="3ABBD9AC" w14:textId="77777777" w:rsidR="00710AE3" w:rsidRDefault="00710AE3">
      <w:pPr>
        <w:spacing w:before="80" w:after="50"/>
        <w:jc w:val="center"/>
        <w:rPr>
          <w:rFonts w:ascii="Arial" w:eastAsia="Arial" w:hAnsi="Arial" w:cs="Arial"/>
          <w:i/>
          <w:iCs/>
          <w:color w:val="6B7280"/>
          <w:sz w:val="19"/>
          <w:szCs w:val="19"/>
        </w:rPr>
      </w:pPr>
    </w:p>
    <w:p w14:paraId="2EFBE706" w14:textId="77777777" w:rsidR="00710AE3" w:rsidRDefault="00710AE3" w:rsidP="002A2CB9">
      <w:pPr>
        <w:spacing w:before="80" w:after="50"/>
        <w:rPr>
          <w:rFonts w:ascii="Arial" w:eastAsia="Arial" w:hAnsi="Arial" w:cs="Arial"/>
          <w:i/>
          <w:iCs/>
          <w:color w:val="6B7280"/>
          <w:sz w:val="19"/>
          <w:szCs w:val="19"/>
        </w:rPr>
      </w:pPr>
    </w:p>
    <w:p w14:paraId="651E4478" w14:textId="4C848420" w:rsidR="0091213F" w:rsidRDefault="00000000" w:rsidP="002A2CB9">
      <w:pPr>
        <w:spacing w:before="80" w:after="50"/>
        <w:jc w:val="center"/>
        <w:rPr>
          <w:rFonts w:ascii="Arial" w:eastAsia="Arial" w:hAnsi="Arial" w:cs="Arial"/>
          <w:i/>
          <w:iCs/>
          <w:color w:val="6B7280"/>
          <w:sz w:val="19"/>
          <w:szCs w:val="19"/>
        </w:rPr>
      </w:pPr>
      <w:r>
        <w:rPr>
          <w:rFonts w:ascii="Arial" w:eastAsia="Arial" w:hAnsi="Arial" w:cs="Arial"/>
          <w:i/>
          <w:iCs/>
          <w:color w:val="6B7280"/>
          <w:sz w:val="19"/>
          <w:szCs w:val="19"/>
        </w:rPr>
        <w:t xml:space="preserve">Université Hassan </w:t>
      </w:r>
      <w:proofErr w:type="gramStart"/>
      <w:r>
        <w:rPr>
          <w:rFonts w:ascii="Arial" w:eastAsia="Arial" w:hAnsi="Arial" w:cs="Arial"/>
          <w:i/>
          <w:iCs/>
          <w:color w:val="6B7280"/>
          <w:sz w:val="19"/>
          <w:szCs w:val="19"/>
        </w:rPr>
        <w:t>Ier  ·</w:t>
      </w:r>
      <w:proofErr w:type="gramEnd"/>
      <w:r>
        <w:rPr>
          <w:rFonts w:ascii="Arial" w:eastAsia="Arial" w:hAnsi="Arial" w:cs="Arial"/>
          <w:i/>
          <w:iCs/>
          <w:color w:val="6B7280"/>
          <w:sz w:val="19"/>
          <w:szCs w:val="19"/>
        </w:rPr>
        <w:t xml:space="preserve">  École Nationale de Commerce et de Gestion de Settat</w:t>
      </w:r>
    </w:p>
    <w:p w14:paraId="591BF602" w14:textId="77777777" w:rsidR="002A2CB9" w:rsidRDefault="002A2CB9" w:rsidP="002A2CB9">
      <w:pPr>
        <w:spacing w:before="80" w:after="50"/>
        <w:jc w:val="center"/>
        <w:rPr>
          <w:rFonts w:ascii="Arial" w:eastAsia="Arial" w:hAnsi="Arial" w:cs="Arial"/>
          <w:i/>
          <w:iCs/>
          <w:color w:val="6B7280"/>
          <w:sz w:val="19"/>
          <w:szCs w:val="19"/>
        </w:rPr>
      </w:pPr>
    </w:p>
    <w:p w14:paraId="0BB1973A" w14:textId="77777777" w:rsidR="002A2CB9" w:rsidRDefault="002A2CB9" w:rsidP="002A2CB9">
      <w:pPr>
        <w:spacing w:before="80" w:after="50"/>
        <w:jc w:val="center"/>
        <w:rPr>
          <w:rFonts w:ascii="Arial" w:eastAsia="Arial" w:hAnsi="Arial" w:cs="Arial"/>
          <w:i/>
          <w:iCs/>
          <w:color w:val="6B7280"/>
          <w:sz w:val="19"/>
          <w:szCs w:val="19"/>
        </w:rPr>
      </w:pPr>
    </w:p>
    <w:p w14:paraId="11ACBAEA" w14:textId="77777777" w:rsidR="002A2CB9" w:rsidRDefault="002A2CB9" w:rsidP="002A2CB9">
      <w:pPr>
        <w:spacing w:before="80" w:after="50"/>
        <w:jc w:val="center"/>
      </w:pPr>
    </w:p>
    <w:p w14:paraId="55358B3B" w14:textId="77777777" w:rsidR="0091213F" w:rsidRDefault="00000000">
      <w:pPr>
        <w:spacing w:before="220" w:after="60"/>
        <w:jc w:val="center"/>
      </w:pPr>
      <w:r>
        <w:rPr>
          <w:rFonts w:ascii="Arial" w:eastAsia="Arial" w:hAnsi="Arial" w:cs="Arial"/>
          <w:b/>
          <w:bCs/>
          <w:caps/>
          <w:color w:val="C9A84C"/>
          <w:sz w:val="21"/>
          <w:szCs w:val="21"/>
        </w:rPr>
        <w:t>Module : Finance Internationale</w:t>
      </w:r>
    </w:p>
    <w:p w14:paraId="022B35E5" w14:textId="77777777" w:rsidR="0091213F" w:rsidRDefault="00000000">
      <w:pPr>
        <w:spacing w:before="40" w:after="40"/>
        <w:jc w:val="center"/>
        <w:rPr>
          <w:rFonts w:ascii="Arial" w:eastAsia="Arial" w:hAnsi="Arial" w:cs="Arial"/>
          <w:color w:val="6B7280"/>
          <w:sz w:val="21"/>
          <w:szCs w:val="21"/>
        </w:rPr>
      </w:pPr>
      <w:r>
        <w:rPr>
          <w:rFonts w:ascii="Arial" w:eastAsia="Arial" w:hAnsi="Arial" w:cs="Arial"/>
          <w:color w:val="6B7280"/>
          <w:sz w:val="21"/>
          <w:szCs w:val="21"/>
        </w:rPr>
        <w:t>Rapport de Recherche</w:t>
      </w:r>
    </w:p>
    <w:p w14:paraId="299C35C1" w14:textId="77777777" w:rsidR="00710AE3" w:rsidRDefault="00710AE3">
      <w:pPr>
        <w:spacing w:before="40" w:after="40"/>
        <w:jc w:val="center"/>
        <w:rPr>
          <w:rFonts w:ascii="Arial" w:eastAsia="Arial" w:hAnsi="Arial" w:cs="Arial"/>
          <w:color w:val="6B7280"/>
          <w:sz w:val="21"/>
          <w:szCs w:val="21"/>
        </w:rPr>
      </w:pPr>
    </w:p>
    <w:p w14:paraId="3545FD1E" w14:textId="77777777" w:rsidR="00710AE3" w:rsidRDefault="00710AE3">
      <w:pPr>
        <w:spacing w:before="40" w:after="40"/>
        <w:jc w:val="center"/>
      </w:pPr>
    </w:p>
    <w:p w14:paraId="4EBF5567" w14:textId="77777777" w:rsidR="0091213F" w:rsidRDefault="00000000">
      <w:pPr>
        <w:spacing w:before="260" w:after="50"/>
        <w:jc w:val="center"/>
      </w:pPr>
      <w:r>
        <w:rPr>
          <w:rFonts w:ascii="Arial" w:eastAsia="Arial" w:hAnsi="Arial" w:cs="Arial"/>
          <w:b/>
          <w:bCs/>
          <w:color w:val="1B3A5C"/>
          <w:sz w:val="42"/>
          <w:szCs w:val="42"/>
        </w:rPr>
        <w:t>Les Investissements Directs Étrangers</w:t>
      </w:r>
    </w:p>
    <w:p w14:paraId="1D3C27A4" w14:textId="77777777" w:rsidR="0091213F" w:rsidRDefault="00000000">
      <w:pPr>
        <w:spacing w:before="40" w:after="50"/>
        <w:jc w:val="center"/>
        <w:rPr>
          <w:rFonts w:ascii="Arial" w:eastAsia="Arial" w:hAnsi="Arial" w:cs="Arial"/>
          <w:b/>
          <w:bCs/>
          <w:color w:val="1B3A5C"/>
          <w:sz w:val="42"/>
          <w:szCs w:val="42"/>
        </w:rPr>
      </w:pPr>
      <w:r>
        <w:rPr>
          <w:rFonts w:ascii="Arial" w:eastAsia="Arial" w:hAnsi="Arial" w:cs="Arial"/>
          <w:b/>
          <w:bCs/>
          <w:color w:val="1B3A5C"/>
          <w:sz w:val="42"/>
          <w:szCs w:val="42"/>
        </w:rPr>
        <w:t>au Maroc en Afrique</w:t>
      </w:r>
    </w:p>
    <w:p w14:paraId="4417FA4B" w14:textId="77777777" w:rsidR="00710AE3" w:rsidRDefault="00710AE3">
      <w:pPr>
        <w:spacing w:before="40" w:after="50"/>
        <w:jc w:val="center"/>
        <w:rPr>
          <w:rFonts w:ascii="Arial" w:eastAsia="Arial" w:hAnsi="Arial" w:cs="Arial"/>
          <w:b/>
          <w:bCs/>
          <w:color w:val="1B3A5C"/>
          <w:sz w:val="42"/>
          <w:szCs w:val="42"/>
        </w:rPr>
      </w:pPr>
    </w:p>
    <w:p w14:paraId="3504B529" w14:textId="77777777" w:rsidR="00710AE3" w:rsidRDefault="00710AE3">
      <w:pPr>
        <w:spacing w:before="40" w:after="50"/>
        <w:jc w:val="center"/>
      </w:pPr>
    </w:p>
    <w:p w14:paraId="5E9A41F9" w14:textId="77777777" w:rsidR="002A2CB9" w:rsidRDefault="002A2CB9">
      <w:pPr>
        <w:pBdr>
          <w:bottom w:val="single" w:sz="10" w:space="0" w:color="C9A84C"/>
        </w:pBdr>
        <w:spacing w:before="180"/>
        <w:jc w:val="center"/>
        <w:rPr>
          <w:i/>
          <w:iCs/>
          <w:color w:val="2E5F8A"/>
          <w:sz w:val="25"/>
          <w:szCs w:val="25"/>
        </w:rPr>
      </w:pPr>
    </w:p>
    <w:p w14:paraId="16CCDE9A" w14:textId="77777777" w:rsidR="002A2CB9" w:rsidRDefault="002A2CB9">
      <w:pPr>
        <w:pBdr>
          <w:bottom w:val="single" w:sz="10" w:space="0" w:color="C9A84C"/>
        </w:pBdr>
        <w:spacing w:before="180"/>
        <w:jc w:val="center"/>
        <w:rPr>
          <w:i/>
          <w:iCs/>
          <w:color w:val="2E5F8A"/>
          <w:sz w:val="25"/>
          <w:szCs w:val="25"/>
        </w:rPr>
      </w:pPr>
    </w:p>
    <w:p w14:paraId="7382878A" w14:textId="77777777" w:rsidR="002A2CB9" w:rsidRDefault="002A2CB9">
      <w:pPr>
        <w:pBdr>
          <w:bottom w:val="single" w:sz="10" w:space="0" w:color="C9A84C"/>
        </w:pBdr>
        <w:spacing w:before="180"/>
        <w:jc w:val="center"/>
        <w:rPr>
          <w:i/>
          <w:iCs/>
          <w:color w:val="2E5F8A"/>
          <w:sz w:val="25"/>
          <w:szCs w:val="25"/>
        </w:rPr>
      </w:pPr>
    </w:p>
    <w:p w14:paraId="48199967" w14:textId="77777777" w:rsidR="002A2CB9" w:rsidRDefault="002A2CB9">
      <w:pPr>
        <w:pBdr>
          <w:bottom w:val="single" w:sz="10" w:space="0" w:color="C9A84C"/>
        </w:pBdr>
        <w:spacing w:before="180"/>
        <w:jc w:val="center"/>
        <w:rPr>
          <w:i/>
          <w:iCs/>
          <w:color w:val="2E5F8A"/>
          <w:sz w:val="25"/>
          <w:szCs w:val="25"/>
        </w:rPr>
      </w:pPr>
    </w:p>
    <w:p w14:paraId="0D106888" w14:textId="77777777" w:rsidR="002A2CB9" w:rsidRDefault="002A2CB9">
      <w:pPr>
        <w:pBdr>
          <w:bottom w:val="single" w:sz="10" w:space="0" w:color="C9A84C"/>
        </w:pBdr>
        <w:spacing w:before="180"/>
        <w:jc w:val="center"/>
        <w:rPr>
          <w:i/>
          <w:iCs/>
          <w:color w:val="2E5F8A"/>
          <w:sz w:val="25"/>
          <w:szCs w:val="25"/>
        </w:rPr>
      </w:pPr>
    </w:p>
    <w:p w14:paraId="27C9732E" w14:textId="1B82514E" w:rsidR="0091213F" w:rsidRDefault="00000000">
      <w:pPr>
        <w:pBdr>
          <w:bottom w:val="single" w:sz="10" w:space="0" w:color="C9A84C"/>
        </w:pBdr>
        <w:spacing w:before="180"/>
        <w:jc w:val="center"/>
      </w:pPr>
      <w:r>
        <w:rPr>
          <w:i/>
          <w:iCs/>
          <w:color w:val="2E5F8A"/>
          <w:sz w:val="25"/>
          <w:szCs w:val="25"/>
        </w:rPr>
        <w:t>De la théorie aux données financières réelles : analyse empirique sur panel africain</w:t>
      </w:r>
    </w:p>
    <w:p w14:paraId="765472D1" w14:textId="77777777" w:rsidR="0091213F" w:rsidRDefault="0091213F">
      <w:pPr>
        <w:spacing w:before="60" w:after="60"/>
      </w:pPr>
    </w:p>
    <w:tbl>
      <w:tblPr>
        <w:tblpPr w:leftFromText="141" w:rightFromText="141" w:vertAnchor="page" w:horzAnchor="margin" w:tblpY="9136"/>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671"/>
      </w:tblGrid>
      <w:tr w:rsidR="00710AE3" w14:paraId="02BC52ED" w14:textId="77777777" w:rsidTr="00710AE3">
        <w:tc>
          <w:tcPr>
            <w:tcW w:w="4400" w:type="dxa"/>
            <w:tcBorders>
              <w:top w:val="single" w:sz="6" w:space="0" w:color="C9A84C"/>
              <w:left w:val="single" w:sz="6" w:space="0" w:color="C9A84C"/>
              <w:bottom w:val="single" w:sz="6" w:space="0" w:color="C9A84C"/>
              <w:right w:val="single" w:sz="6" w:space="0" w:color="C9A84C"/>
            </w:tcBorders>
            <w:shd w:val="clear" w:color="auto" w:fill="FDF8EE"/>
            <w:tcMar>
              <w:top w:w="140" w:type="dxa"/>
              <w:left w:w="220" w:type="dxa"/>
              <w:bottom w:w="140" w:type="dxa"/>
              <w:right w:w="220" w:type="dxa"/>
            </w:tcMar>
          </w:tcPr>
          <w:p w14:paraId="12BA041D" w14:textId="77777777" w:rsidR="00710AE3" w:rsidRDefault="00710AE3" w:rsidP="00710AE3">
            <w:r>
              <w:rPr>
                <w:rFonts w:ascii="Arial" w:eastAsia="Arial" w:hAnsi="Arial" w:cs="Arial"/>
                <w:b/>
                <w:bCs/>
                <w:color w:val="1B3A5C"/>
                <w:sz w:val="21"/>
                <w:szCs w:val="21"/>
              </w:rPr>
              <w:t>Encadré par :</w:t>
            </w:r>
          </w:p>
          <w:p w14:paraId="053C7D18" w14:textId="77777777" w:rsidR="00710AE3" w:rsidRDefault="00710AE3" w:rsidP="00710AE3">
            <w:pPr>
              <w:spacing w:before="100"/>
            </w:pPr>
            <w:r>
              <w:rPr>
                <w:i/>
                <w:iCs/>
                <w:color w:val="2E5F8A"/>
              </w:rPr>
              <w:t>Pr. [Nom du Professeur]</w:t>
            </w:r>
          </w:p>
          <w:p w14:paraId="7C97A9CD" w14:textId="2A1476FE" w:rsidR="00710AE3" w:rsidRDefault="00710AE3" w:rsidP="00710AE3"/>
        </w:tc>
        <w:tc>
          <w:tcPr>
            <w:tcW w:w="4671" w:type="dxa"/>
            <w:tcBorders>
              <w:top w:val="single" w:sz="6" w:space="0" w:color="C9A84C"/>
              <w:left w:val="single" w:sz="6" w:space="0" w:color="C9A84C"/>
              <w:bottom w:val="single" w:sz="6" w:space="0" w:color="C9A84C"/>
              <w:right w:val="single" w:sz="6" w:space="0" w:color="C9A84C"/>
            </w:tcBorders>
            <w:shd w:val="clear" w:color="auto" w:fill="FDF8EE"/>
            <w:tcMar>
              <w:top w:w="140" w:type="dxa"/>
              <w:left w:w="220" w:type="dxa"/>
              <w:bottom w:w="140" w:type="dxa"/>
              <w:right w:w="220" w:type="dxa"/>
            </w:tcMar>
          </w:tcPr>
          <w:p w14:paraId="615A247E" w14:textId="77777777" w:rsidR="00710AE3" w:rsidRDefault="00710AE3" w:rsidP="00710AE3">
            <w:r>
              <w:rPr>
                <w:rFonts w:ascii="Arial" w:eastAsia="Arial" w:hAnsi="Arial" w:cs="Arial"/>
                <w:b/>
                <w:bCs/>
                <w:color w:val="1B3A5C"/>
                <w:sz w:val="21"/>
                <w:szCs w:val="21"/>
              </w:rPr>
              <w:t>Réalisé par :</w:t>
            </w:r>
          </w:p>
          <w:p w14:paraId="597D8706" w14:textId="77777777" w:rsidR="002A2CB9" w:rsidRDefault="002A2CB9" w:rsidP="002A2CB9">
            <w:pPr>
              <w:spacing w:before="100"/>
            </w:pPr>
            <w:r>
              <w:rPr>
                <w:i/>
                <w:iCs/>
                <w:color w:val="2E5F8A"/>
              </w:rPr>
              <w:t>[Nom Étudiant 1]</w:t>
            </w:r>
          </w:p>
          <w:p w14:paraId="3FB1E851" w14:textId="77777777" w:rsidR="002A2CB9" w:rsidRDefault="002A2CB9" w:rsidP="002A2CB9">
            <w:pPr>
              <w:rPr>
                <w:i/>
                <w:iCs/>
                <w:color w:val="2E5F8A"/>
              </w:rPr>
            </w:pPr>
            <w:r>
              <w:rPr>
                <w:i/>
                <w:iCs/>
                <w:color w:val="2E5F8A"/>
              </w:rPr>
              <w:t>[Nom Étudiant 2]</w:t>
            </w:r>
          </w:p>
          <w:p w14:paraId="272A3DEC" w14:textId="77777777" w:rsidR="002A2CB9" w:rsidRDefault="002A2CB9" w:rsidP="002A2CB9">
            <w:pPr>
              <w:rPr>
                <w:i/>
                <w:iCs/>
                <w:color w:val="2E5F8A"/>
              </w:rPr>
            </w:pPr>
            <w:r>
              <w:rPr>
                <w:i/>
                <w:iCs/>
                <w:color w:val="2E5F8A"/>
              </w:rPr>
              <w:t>[Nom Étudiant 3]</w:t>
            </w:r>
          </w:p>
          <w:p w14:paraId="059EF680" w14:textId="12FD30EC" w:rsidR="00710AE3" w:rsidRDefault="002A2CB9" w:rsidP="002A2CB9">
            <w:r>
              <w:rPr>
                <w:i/>
                <w:iCs/>
                <w:color w:val="2E5F8A"/>
              </w:rPr>
              <w:t>[Nom Étudiant 4]</w:t>
            </w:r>
          </w:p>
          <w:p w14:paraId="3E634E36" w14:textId="2EE706ED" w:rsidR="00710AE3" w:rsidRDefault="00710AE3" w:rsidP="00710AE3"/>
        </w:tc>
      </w:tr>
    </w:tbl>
    <w:p w14:paraId="6BDE5369" w14:textId="77777777" w:rsidR="0091213F" w:rsidRDefault="0091213F">
      <w:pPr>
        <w:spacing w:before="60" w:after="60"/>
      </w:pPr>
    </w:p>
    <w:p w14:paraId="7DCA5202" w14:textId="77777777" w:rsidR="00710AE3" w:rsidRDefault="00710AE3">
      <w:pPr>
        <w:spacing w:before="60" w:after="60"/>
      </w:pPr>
    </w:p>
    <w:p w14:paraId="377DE7F9" w14:textId="77777777" w:rsidR="00710AE3" w:rsidRDefault="00710AE3">
      <w:pPr>
        <w:spacing w:before="60" w:after="60"/>
      </w:pPr>
    </w:p>
    <w:p w14:paraId="49F9188D" w14:textId="77777777" w:rsidR="00710AE3" w:rsidRDefault="00710AE3">
      <w:pPr>
        <w:spacing w:before="60" w:after="60"/>
      </w:pPr>
    </w:p>
    <w:p w14:paraId="6795E038" w14:textId="77777777" w:rsidR="00710AE3" w:rsidRDefault="00710AE3">
      <w:pPr>
        <w:spacing w:before="60" w:after="60"/>
      </w:pPr>
    </w:p>
    <w:p w14:paraId="5761E185" w14:textId="77777777" w:rsidR="0091213F" w:rsidRDefault="00000000">
      <w:pPr>
        <w:pageBreakBefore/>
      </w:pPr>
      <w:r>
        <w:lastRenderedPageBreak/>
        <w:br/>
      </w:r>
    </w:p>
    <w:p w14:paraId="61158C59" w14:textId="77777777" w:rsidR="0091213F" w:rsidRDefault="00000000">
      <w:pPr>
        <w:spacing w:after="320"/>
        <w:jc w:val="center"/>
      </w:pPr>
      <w:r>
        <w:rPr>
          <w:rFonts w:ascii="Arial" w:eastAsia="Arial" w:hAnsi="Arial" w:cs="Arial"/>
          <w:b/>
          <w:bCs/>
          <w:caps/>
          <w:color w:val="1B3A5C"/>
          <w:sz w:val="28"/>
          <w:szCs w:val="28"/>
        </w:rPr>
        <w:t>SOMMAIRE</w:t>
      </w:r>
    </w:p>
    <w:sdt>
      <w:sdtPr>
        <w:alias w:val="Sommaire"/>
        <w:id w:val="1695496993"/>
      </w:sdtPr>
      <w:sdtContent>
        <w:p w14:paraId="12B614CA" w14:textId="77777777" w:rsidR="00710AE3" w:rsidRDefault="00000000">
          <w:pPr>
            <w:pStyle w:val="TM1"/>
            <w:tabs>
              <w:tab w:val="right" w:leader="dot" w:pos="9061"/>
            </w:tabs>
            <w:rPr>
              <w:noProof/>
            </w:rPr>
          </w:pPr>
          <w:r>
            <w:fldChar w:fldCharType="begin"/>
          </w:r>
          <w:r>
            <w:instrText>TOC \h \o "1-3"</w:instrText>
          </w:r>
          <w:r>
            <w:fldChar w:fldCharType="separate"/>
          </w:r>
          <w:hyperlink w:anchor="_Toc224419676" w:history="1">
            <w:r w:rsidR="00710AE3">
              <w:rPr>
                <w:rStyle w:val="Lienhypertexte"/>
                <w:noProof/>
              </w:rPr>
              <w:t>INTRODUCTION GÉNÉRALE</w:t>
            </w:r>
            <w:r w:rsidR="00710AE3">
              <w:rPr>
                <w:noProof/>
              </w:rPr>
              <w:tab/>
            </w:r>
            <w:r w:rsidR="00710AE3">
              <w:rPr>
                <w:noProof/>
              </w:rPr>
              <w:fldChar w:fldCharType="begin"/>
            </w:r>
            <w:r w:rsidR="00710AE3">
              <w:rPr>
                <w:noProof/>
              </w:rPr>
              <w:instrText xml:space="preserve"> PAGEREF _Toc224419676 \h </w:instrText>
            </w:r>
            <w:r w:rsidR="00710AE3">
              <w:rPr>
                <w:noProof/>
              </w:rPr>
            </w:r>
            <w:r w:rsidR="00710AE3">
              <w:rPr>
                <w:noProof/>
              </w:rPr>
              <w:fldChar w:fldCharType="separate"/>
            </w:r>
            <w:r w:rsidR="00710AE3">
              <w:rPr>
                <w:noProof/>
              </w:rPr>
              <w:t>5</w:t>
            </w:r>
            <w:r w:rsidR="00710AE3">
              <w:rPr>
                <w:noProof/>
              </w:rPr>
              <w:fldChar w:fldCharType="end"/>
            </w:r>
          </w:hyperlink>
        </w:p>
        <w:p w14:paraId="6E4856C8" w14:textId="77777777" w:rsidR="00710AE3" w:rsidRDefault="00710AE3">
          <w:pPr>
            <w:pStyle w:val="TM2"/>
            <w:tabs>
              <w:tab w:val="right" w:leader="dot" w:pos="9061"/>
            </w:tabs>
            <w:rPr>
              <w:noProof/>
            </w:rPr>
          </w:pPr>
          <w:hyperlink w:anchor="_Toc224419677" w:history="1">
            <w:r>
              <w:rPr>
                <w:rStyle w:val="Lienhypertexte"/>
                <w:noProof/>
              </w:rPr>
              <w:t>Contexte mondial</w:t>
            </w:r>
            <w:r>
              <w:rPr>
                <w:noProof/>
              </w:rPr>
              <w:tab/>
            </w:r>
            <w:r>
              <w:rPr>
                <w:noProof/>
              </w:rPr>
              <w:fldChar w:fldCharType="begin"/>
            </w:r>
            <w:r>
              <w:rPr>
                <w:noProof/>
              </w:rPr>
              <w:instrText xml:space="preserve"> PAGEREF _Toc224419677 \h </w:instrText>
            </w:r>
            <w:r>
              <w:rPr>
                <w:noProof/>
              </w:rPr>
            </w:r>
            <w:r>
              <w:rPr>
                <w:noProof/>
              </w:rPr>
              <w:fldChar w:fldCharType="separate"/>
            </w:r>
            <w:r>
              <w:rPr>
                <w:noProof/>
              </w:rPr>
              <w:t>5</w:t>
            </w:r>
            <w:r>
              <w:rPr>
                <w:noProof/>
              </w:rPr>
              <w:fldChar w:fldCharType="end"/>
            </w:r>
          </w:hyperlink>
        </w:p>
        <w:p w14:paraId="683628D8" w14:textId="77777777" w:rsidR="00710AE3" w:rsidRDefault="00710AE3">
          <w:pPr>
            <w:pStyle w:val="TM2"/>
            <w:tabs>
              <w:tab w:val="right" w:leader="dot" w:pos="9061"/>
            </w:tabs>
            <w:rPr>
              <w:noProof/>
            </w:rPr>
          </w:pPr>
          <w:hyperlink w:anchor="_Toc224419678" w:history="1">
            <w:r>
              <w:rPr>
                <w:rStyle w:val="Lienhypertexte"/>
                <w:noProof/>
              </w:rPr>
              <w:t>Objectif et démarche</w:t>
            </w:r>
            <w:r>
              <w:rPr>
                <w:noProof/>
              </w:rPr>
              <w:tab/>
            </w:r>
            <w:r>
              <w:rPr>
                <w:noProof/>
              </w:rPr>
              <w:fldChar w:fldCharType="begin"/>
            </w:r>
            <w:r>
              <w:rPr>
                <w:noProof/>
              </w:rPr>
              <w:instrText xml:space="preserve"> PAGEREF _Toc224419678 \h </w:instrText>
            </w:r>
            <w:r>
              <w:rPr>
                <w:noProof/>
              </w:rPr>
            </w:r>
            <w:r>
              <w:rPr>
                <w:noProof/>
              </w:rPr>
              <w:fldChar w:fldCharType="separate"/>
            </w:r>
            <w:r>
              <w:rPr>
                <w:noProof/>
              </w:rPr>
              <w:t>5</w:t>
            </w:r>
            <w:r>
              <w:rPr>
                <w:noProof/>
              </w:rPr>
              <w:fldChar w:fldCharType="end"/>
            </w:r>
          </w:hyperlink>
        </w:p>
        <w:p w14:paraId="00C9DFC8" w14:textId="77777777" w:rsidR="00710AE3" w:rsidRDefault="00710AE3">
          <w:pPr>
            <w:pStyle w:val="TM2"/>
            <w:tabs>
              <w:tab w:val="right" w:leader="dot" w:pos="9061"/>
            </w:tabs>
            <w:rPr>
              <w:noProof/>
            </w:rPr>
          </w:pPr>
          <w:hyperlink w:anchor="_Toc224419679" w:history="1">
            <w:r>
              <w:rPr>
                <w:rStyle w:val="Lienhypertexte"/>
                <w:noProof/>
              </w:rPr>
              <w:t>Problématique</w:t>
            </w:r>
            <w:r>
              <w:rPr>
                <w:noProof/>
              </w:rPr>
              <w:tab/>
            </w:r>
            <w:r>
              <w:rPr>
                <w:noProof/>
              </w:rPr>
              <w:fldChar w:fldCharType="begin"/>
            </w:r>
            <w:r>
              <w:rPr>
                <w:noProof/>
              </w:rPr>
              <w:instrText xml:space="preserve"> PAGEREF _Toc224419679 \h </w:instrText>
            </w:r>
            <w:r>
              <w:rPr>
                <w:noProof/>
              </w:rPr>
            </w:r>
            <w:r>
              <w:rPr>
                <w:noProof/>
              </w:rPr>
              <w:fldChar w:fldCharType="separate"/>
            </w:r>
            <w:r>
              <w:rPr>
                <w:noProof/>
              </w:rPr>
              <w:t>5</w:t>
            </w:r>
            <w:r>
              <w:rPr>
                <w:noProof/>
              </w:rPr>
              <w:fldChar w:fldCharType="end"/>
            </w:r>
          </w:hyperlink>
        </w:p>
        <w:p w14:paraId="5B9AB20E" w14:textId="77777777" w:rsidR="00710AE3" w:rsidRDefault="00710AE3">
          <w:pPr>
            <w:pStyle w:val="TM2"/>
            <w:tabs>
              <w:tab w:val="right" w:leader="dot" w:pos="9061"/>
            </w:tabs>
            <w:rPr>
              <w:noProof/>
            </w:rPr>
          </w:pPr>
          <w:hyperlink w:anchor="_Toc224419680" w:history="1">
            <w:r>
              <w:rPr>
                <w:rStyle w:val="Lienhypertexte"/>
                <w:noProof/>
              </w:rPr>
              <w:t>Plan du rapport</w:t>
            </w:r>
            <w:r>
              <w:rPr>
                <w:noProof/>
              </w:rPr>
              <w:tab/>
            </w:r>
            <w:r>
              <w:rPr>
                <w:noProof/>
              </w:rPr>
              <w:fldChar w:fldCharType="begin"/>
            </w:r>
            <w:r>
              <w:rPr>
                <w:noProof/>
              </w:rPr>
              <w:instrText xml:space="preserve"> PAGEREF _Toc224419680 \h </w:instrText>
            </w:r>
            <w:r>
              <w:rPr>
                <w:noProof/>
              </w:rPr>
            </w:r>
            <w:r>
              <w:rPr>
                <w:noProof/>
              </w:rPr>
              <w:fldChar w:fldCharType="separate"/>
            </w:r>
            <w:r>
              <w:rPr>
                <w:noProof/>
              </w:rPr>
              <w:t>5</w:t>
            </w:r>
            <w:r>
              <w:rPr>
                <w:noProof/>
              </w:rPr>
              <w:fldChar w:fldCharType="end"/>
            </w:r>
          </w:hyperlink>
        </w:p>
        <w:p w14:paraId="58AD97FB" w14:textId="77777777" w:rsidR="00710AE3" w:rsidRDefault="00710AE3">
          <w:pPr>
            <w:pStyle w:val="TM1"/>
            <w:tabs>
              <w:tab w:val="right" w:leader="dot" w:pos="9061"/>
            </w:tabs>
            <w:rPr>
              <w:noProof/>
            </w:rPr>
          </w:pPr>
          <w:hyperlink w:anchor="_Toc224419681" w:history="1">
            <w:r>
              <w:rPr>
                <w:rStyle w:val="Lienhypertexte"/>
                <w:noProof/>
              </w:rPr>
              <w:t>1.  Définitions, nature et formes des IDE</w:t>
            </w:r>
            <w:r>
              <w:rPr>
                <w:noProof/>
              </w:rPr>
              <w:tab/>
            </w:r>
            <w:r>
              <w:rPr>
                <w:noProof/>
              </w:rPr>
              <w:fldChar w:fldCharType="begin"/>
            </w:r>
            <w:r>
              <w:rPr>
                <w:noProof/>
              </w:rPr>
              <w:instrText xml:space="preserve"> PAGEREF _Toc224419681 \h </w:instrText>
            </w:r>
            <w:r>
              <w:rPr>
                <w:noProof/>
              </w:rPr>
            </w:r>
            <w:r>
              <w:rPr>
                <w:noProof/>
              </w:rPr>
              <w:fldChar w:fldCharType="separate"/>
            </w:r>
            <w:r>
              <w:rPr>
                <w:noProof/>
              </w:rPr>
              <w:t>8</w:t>
            </w:r>
            <w:r>
              <w:rPr>
                <w:noProof/>
              </w:rPr>
              <w:fldChar w:fldCharType="end"/>
            </w:r>
          </w:hyperlink>
        </w:p>
        <w:p w14:paraId="16AC55C6" w14:textId="77777777" w:rsidR="00710AE3" w:rsidRDefault="00710AE3">
          <w:pPr>
            <w:pStyle w:val="TM2"/>
            <w:tabs>
              <w:tab w:val="right" w:leader="dot" w:pos="9061"/>
            </w:tabs>
            <w:rPr>
              <w:noProof/>
            </w:rPr>
          </w:pPr>
          <w:hyperlink w:anchor="_Toc224419682" w:history="1">
            <w:r>
              <w:rPr>
                <w:rStyle w:val="Lienhypertexte"/>
                <w:noProof/>
              </w:rPr>
              <w:t>1.1  Définition institutionnelle</w:t>
            </w:r>
            <w:r>
              <w:rPr>
                <w:noProof/>
              </w:rPr>
              <w:tab/>
            </w:r>
            <w:r>
              <w:rPr>
                <w:noProof/>
              </w:rPr>
              <w:fldChar w:fldCharType="begin"/>
            </w:r>
            <w:r>
              <w:rPr>
                <w:noProof/>
              </w:rPr>
              <w:instrText xml:space="preserve"> PAGEREF _Toc224419682 \h </w:instrText>
            </w:r>
            <w:r>
              <w:rPr>
                <w:noProof/>
              </w:rPr>
            </w:r>
            <w:r>
              <w:rPr>
                <w:noProof/>
              </w:rPr>
              <w:fldChar w:fldCharType="separate"/>
            </w:r>
            <w:r>
              <w:rPr>
                <w:noProof/>
              </w:rPr>
              <w:t>8</w:t>
            </w:r>
            <w:r>
              <w:rPr>
                <w:noProof/>
              </w:rPr>
              <w:fldChar w:fldCharType="end"/>
            </w:r>
          </w:hyperlink>
        </w:p>
        <w:p w14:paraId="6C633B62" w14:textId="77777777" w:rsidR="00710AE3" w:rsidRDefault="00710AE3">
          <w:pPr>
            <w:pStyle w:val="TM2"/>
            <w:tabs>
              <w:tab w:val="right" w:leader="dot" w:pos="9061"/>
            </w:tabs>
            <w:rPr>
              <w:noProof/>
            </w:rPr>
          </w:pPr>
          <w:hyperlink w:anchor="_Toc224419683" w:history="1">
            <w:r>
              <w:rPr>
                <w:rStyle w:val="Lienhypertexte"/>
                <w:noProof/>
              </w:rPr>
              <w:t>1.2  Typologies des IDE</w:t>
            </w:r>
            <w:r>
              <w:rPr>
                <w:noProof/>
              </w:rPr>
              <w:tab/>
            </w:r>
            <w:r>
              <w:rPr>
                <w:noProof/>
              </w:rPr>
              <w:fldChar w:fldCharType="begin"/>
            </w:r>
            <w:r>
              <w:rPr>
                <w:noProof/>
              </w:rPr>
              <w:instrText xml:space="preserve"> PAGEREF _Toc224419683 \h </w:instrText>
            </w:r>
            <w:r>
              <w:rPr>
                <w:noProof/>
              </w:rPr>
            </w:r>
            <w:r>
              <w:rPr>
                <w:noProof/>
              </w:rPr>
              <w:fldChar w:fldCharType="separate"/>
            </w:r>
            <w:r>
              <w:rPr>
                <w:noProof/>
              </w:rPr>
              <w:t>8</w:t>
            </w:r>
            <w:r>
              <w:rPr>
                <w:noProof/>
              </w:rPr>
              <w:fldChar w:fldCharType="end"/>
            </w:r>
          </w:hyperlink>
        </w:p>
        <w:p w14:paraId="35EA101E" w14:textId="77777777" w:rsidR="00710AE3" w:rsidRDefault="00710AE3">
          <w:pPr>
            <w:pStyle w:val="TM3"/>
            <w:tabs>
              <w:tab w:val="right" w:leader="dot" w:pos="9061"/>
            </w:tabs>
            <w:rPr>
              <w:noProof/>
            </w:rPr>
          </w:pPr>
          <w:hyperlink w:anchor="_Toc224419684" w:history="1">
            <w:r>
              <w:rPr>
                <w:rStyle w:val="Lienhypertexte"/>
                <w:noProof/>
              </w:rPr>
              <w:t>Selon la forme opérationnelle</w:t>
            </w:r>
            <w:r>
              <w:rPr>
                <w:noProof/>
              </w:rPr>
              <w:tab/>
            </w:r>
            <w:r>
              <w:rPr>
                <w:noProof/>
              </w:rPr>
              <w:fldChar w:fldCharType="begin"/>
            </w:r>
            <w:r>
              <w:rPr>
                <w:noProof/>
              </w:rPr>
              <w:instrText xml:space="preserve"> PAGEREF _Toc224419684 \h </w:instrText>
            </w:r>
            <w:r>
              <w:rPr>
                <w:noProof/>
              </w:rPr>
            </w:r>
            <w:r>
              <w:rPr>
                <w:noProof/>
              </w:rPr>
              <w:fldChar w:fldCharType="separate"/>
            </w:r>
            <w:r>
              <w:rPr>
                <w:noProof/>
              </w:rPr>
              <w:t>8</w:t>
            </w:r>
            <w:r>
              <w:rPr>
                <w:noProof/>
              </w:rPr>
              <w:fldChar w:fldCharType="end"/>
            </w:r>
          </w:hyperlink>
        </w:p>
        <w:p w14:paraId="6F792FEE" w14:textId="77777777" w:rsidR="00710AE3" w:rsidRDefault="00710AE3">
          <w:pPr>
            <w:pStyle w:val="TM3"/>
            <w:tabs>
              <w:tab w:val="right" w:leader="dot" w:pos="9061"/>
            </w:tabs>
            <w:rPr>
              <w:noProof/>
            </w:rPr>
          </w:pPr>
          <w:hyperlink w:anchor="_Toc224419685" w:history="1">
            <w:r>
              <w:rPr>
                <w:rStyle w:val="Lienhypertexte"/>
                <w:noProof/>
              </w:rPr>
              <w:t>Selon la motivation stratégique (Dunning &amp; Lundan, 2008)</w:t>
            </w:r>
            <w:r>
              <w:rPr>
                <w:noProof/>
              </w:rPr>
              <w:tab/>
            </w:r>
            <w:r>
              <w:rPr>
                <w:noProof/>
              </w:rPr>
              <w:fldChar w:fldCharType="begin"/>
            </w:r>
            <w:r>
              <w:rPr>
                <w:noProof/>
              </w:rPr>
              <w:instrText xml:space="preserve"> PAGEREF _Toc224419685 \h </w:instrText>
            </w:r>
            <w:r>
              <w:rPr>
                <w:noProof/>
              </w:rPr>
            </w:r>
            <w:r>
              <w:rPr>
                <w:noProof/>
              </w:rPr>
              <w:fldChar w:fldCharType="separate"/>
            </w:r>
            <w:r>
              <w:rPr>
                <w:noProof/>
              </w:rPr>
              <w:t>8</w:t>
            </w:r>
            <w:r>
              <w:rPr>
                <w:noProof/>
              </w:rPr>
              <w:fldChar w:fldCharType="end"/>
            </w:r>
          </w:hyperlink>
        </w:p>
        <w:p w14:paraId="17309FEB" w14:textId="77777777" w:rsidR="00710AE3" w:rsidRDefault="00710AE3">
          <w:pPr>
            <w:pStyle w:val="TM2"/>
            <w:tabs>
              <w:tab w:val="right" w:leader="dot" w:pos="9061"/>
            </w:tabs>
            <w:rPr>
              <w:noProof/>
            </w:rPr>
          </w:pPr>
          <w:hyperlink w:anchor="_Toc224419686" w:history="1">
            <w:r>
              <w:rPr>
                <w:rStyle w:val="Lienhypertexte"/>
                <w:noProof/>
              </w:rPr>
              <w:t>1.3  IDE entrants vs IDE sortants : le double rôle du Maroc</w:t>
            </w:r>
            <w:r>
              <w:rPr>
                <w:noProof/>
              </w:rPr>
              <w:tab/>
            </w:r>
            <w:r>
              <w:rPr>
                <w:noProof/>
              </w:rPr>
              <w:fldChar w:fldCharType="begin"/>
            </w:r>
            <w:r>
              <w:rPr>
                <w:noProof/>
              </w:rPr>
              <w:instrText xml:space="preserve"> PAGEREF _Toc224419686 \h </w:instrText>
            </w:r>
            <w:r>
              <w:rPr>
                <w:noProof/>
              </w:rPr>
            </w:r>
            <w:r>
              <w:rPr>
                <w:noProof/>
              </w:rPr>
              <w:fldChar w:fldCharType="separate"/>
            </w:r>
            <w:r>
              <w:rPr>
                <w:noProof/>
              </w:rPr>
              <w:t>9</w:t>
            </w:r>
            <w:r>
              <w:rPr>
                <w:noProof/>
              </w:rPr>
              <w:fldChar w:fldCharType="end"/>
            </w:r>
          </w:hyperlink>
        </w:p>
        <w:p w14:paraId="3F73C7EC" w14:textId="77777777" w:rsidR="00710AE3" w:rsidRDefault="00710AE3">
          <w:pPr>
            <w:pStyle w:val="TM1"/>
            <w:tabs>
              <w:tab w:val="right" w:leader="dot" w:pos="9061"/>
            </w:tabs>
            <w:rPr>
              <w:noProof/>
            </w:rPr>
          </w:pPr>
          <w:hyperlink w:anchor="_Toc224419687" w:history="1">
            <w:r>
              <w:rPr>
                <w:rStyle w:val="Lienhypertexte"/>
                <w:noProof/>
              </w:rPr>
              <w:t>2.  Théories explicatives des IDE</w:t>
            </w:r>
            <w:r>
              <w:rPr>
                <w:noProof/>
              </w:rPr>
              <w:tab/>
            </w:r>
            <w:r>
              <w:rPr>
                <w:noProof/>
              </w:rPr>
              <w:fldChar w:fldCharType="begin"/>
            </w:r>
            <w:r>
              <w:rPr>
                <w:noProof/>
              </w:rPr>
              <w:instrText xml:space="preserve"> PAGEREF _Toc224419687 \h </w:instrText>
            </w:r>
            <w:r>
              <w:rPr>
                <w:noProof/>
              </w:rPr>
            </w:r>
            <w:r>
              <w:rPr>
                <w:noProof/>
              </w:rPr>
              <w:fldChar w:fldCharType="separate"/>
            </w:r>
            <w:r>
              <w:rPr>
                <w:noProof/>
              </w:rPr>
              <w:t>10</w:t>
            </w:r>
            <w:r>
              <w:rPr>
                <w:noProof/>
              </w:rPr>
              <w:fldChar w:fldCharType="end"/>
            </w:r>
          </w:hyperlink>
        </w:p>
        <w:p w14:paraId="57C9827F" w14:textId="77777777" w:rsidR="00710AE3" w:rsidRDefault="00710AE3">
          <w:pPr>
            <w:pStyle w:val="TM2"/>
            <w:tabs>
              <w:tab w:val="right" w:leader="dot" w:pos="9061"/>
            </w:tabs>
            <w:rPr>
              <w:noProof/>
            </w:rPr>
          </w:pPr>
          <w:hyperlink w:anchor="_Toc224419688" w:history="1">
            <w:r>
              <w:rPr>
                <w:rStyle w:val="Lienhypertexte"/>
                <w:noProof/>
              </w:rPr>
              <w:t>2.1  Le paradigme OLI de Dunning (1981)</w:t>
            </w:r>
            <w:r>
              <w:rPr>
                <w:noProof/>
              </w:rPr>
              <w:tab/>
            </w:r>
            <w:r>
              <w:rPr>
                <w:noProof/>
              </w:rPr>
              <w:fldChar w:fldCharType="begin"/>
            </w:r>
            <w:r>
              <w:rPr>
                <w:noProof/>
              </w:rPr>
              <w:instrText xml:space="preserve"> PAGEREF _Toc224419688 \h </w:instrText>
            </w:r>
            <w:r>
              <w:rPr>
                <w:noProof/>
              </w:rPr>
            </w:r>
            <w:r>
              <w:rPr>
                <w:noProof/>
              </w:rPr>
              <w:fldChar w:fldCharType="separate"/>
            </w:r>
            <w:r>
              <w:rPr>
                <w:noProof/>
              </w:rPr>
              <w:t>10</w:t>
            </w:r>
            <w:r>
              <w:rPr>
                <w:noProof/>
              </w:rPr>
              <w:fldChar w:fldCharType="end"/>
            </w:r>
          </w:hyperlink>
        </w:p>
        <w:p w14:paraId="68A03334" w14:textId="77777777" w:rsidR="00710AE3" w:rsidRDefault="00710AE3">
          <w:pPr>
            <w:pStyle w:val="TM2"/>
            <w:tabs>
              <w:tab w:val="right" w:leader="dot" w:pos="9061"/>
            </w:tabs>
            <w:rPr>
              <w:noProof/>
            </w:rPr>
          </w:pPr>
          <w:hyperlink w:anchor="_Toc224419689" w:history="1">
            <w:r>
              <w:rPr>
                <w:rStyle w:val="Lienhypertexte"/>
                <w:noProof/>
              </w:rPr>
              <w:t>2.2  Le modèle d'Uppsala : l'internationalisation progressive</w:t>
            </w:r>
            <w:r>
              <w:rPr>
                <w:noProof/>
              </w:rPr>
              <w:tab/>
            </w:r>
            <w:r>
              <w:rPr>
                <w:noProof/>
              </w:rPr>
              <w:fldChar w:fldCharType="begin"/>
            </w:r>
            <w:r>
              <w:rPr>
                <w:noProof/>
              </w:rPr>
              <w:instrText xml:space="preserve"> PAGEREF _Toc224419689 \h </w:instrText>
            </w:r>
            <w:r>
              <w:rPr>
                <w:noProof/>
              </w:rPr>
            </w:r>
            <w:r>
              <w:rPr>
                <w:noProof/>
              </w:rPr>
              <w:fldChar w:fldCharType="separate"/>
            </w:r>
            <w:r>
              <w:rPr>
                <w:noProof/>
              </w:rPr>
              <w:t>10</w:t>
            </w:r>
            <w:r>
              <w:rPr>
                <w:noProof/>
              </w:rPr>
              <w:fldChar w:fldCharType="end"/>
            </w:r>
          </w:hyperlink>
        </w:p>
        <w:p w14:paraId="64D92F66" w14:textId="77777777" w:rsidR="00710AE3" w:rsidRDefault="00710AE3">
          <w:pPr>
            <w:pStyle w:val="TM2"/>
            <w:tabs>
              <w:tab w:val="right" w:leader="dot" w:pos="9061"/>
            </w:tabs>
            <w:rPr>
              <w:noProof/>
            </w:rPr>
          </w:pPr>
          <w:hyperlink w:anchor="_Toc224419690" w:history="1">
            <w:r>
              <w:rPr>
                <w:rStyle w:val="Lienhypertexte"/>
                <w:noProof/>
              </w:rPr>
              <w:t>2.3  IDE et Balance des Paiements</w:t>
            </w:r>
            <w:r>
              <w:rPr>
                <w:noProof/>
              </w:rPr>
              <w:tab/>
            </w:r>
            <w:r>
              <w:rPr>
                <w:noProof/>
              </w:rPr>
              <w:fldChar w:fldCharType="begin"/>
            </w:r>
            <w:r>
              <w:rPr>
                <w:noProof/>
              </w:rPr>
              <w:instrText xml:space="preserve"> PAGEREF _Toc224419690 \h </w:instrText>
            </w:r>
            <w:r>
              <w:rPr>
                <w:noProof/>
              </w:rPr>
            </w:r>
            <w:r>
              <w:rPr>
                <w:noProof/>
              </w:rPr>
              <w:fldChar w:fldCharType="separate"/>
            </w:r>
            <w:r>
              <w:rPr>
                <w:noProof/>
              </w:rPr>
              <w:t>11</w:t>
            </w:r>
            <w:r>
              <w:rPr>
                <w:noProof/>
              </w:rPr>
              <w:fldChar w:fldCharType="end"/>
            </w:r>
          </w:hyperlink>
        </w:p>
        <w:p w14:paraId="7AFC5044" w14:textId="77777777" w:rsidR="00710AE3" w:rsidRDefault="00710AE3">
          <w:pPr>
            <w:pStyle w:val="TM1"/>
            <w:tabs>
              <w:tab w:val="right" w:leader="dot" w:pos="9061"/>
            </w:tabs>
            <w:rPr>
              <w:noProof/>
            </w:rPr>
          </w:pPr>
          <w:hyperlink w:anchor="_Toc224419691" w:history="1">
            <w:r>
              <w:rPr>
                <w:rStyle w:val="Lienhypertexte"/>
                <w:noProof/>
              </w:rPr>
              <w:t>3.  Les IDE au Maroc : évolution et politique d'attractivité</w:t>
            </w:r>
            <w:r>
              <w:rPr>
                <w:noProof/>
              </w:rPr>
              <w:tab/>
            </w:r>
            <w:r>
              <w:rPr>
                <w:noProof/>
              </w:rPr>
              <w:fldChar w:fldCharType="begin"/>
            </w:r>
            <w:r>
              <w:rPr>
                <w:noProof/>
              </w:rPr>
              <w:instrText xml:space="preserve"> PAGEREF _Toc224419691 \h </w:instrText>
            </w:r>
            <w:r>
              <w:rPr>
                <w:noProof/>
              </w:rPr>
            </w:r>
            <w:r>
              <w:rPr>
                <w:noProof/>
              </w:rPr>
              <w:fldChar w:fldCharType="separate"/>
            </w:r>
            <w:r>
              <w:rPr>
                <w:noProof/>
              </w:rPr>
              <w:t>12</w:t>
            </w:r>
            <w:r>
              <w:rPr>
                <w:noProof/>
              </w:rPr>
              <w:fldChar w:fldCharType="end"/>
            </w:r>
          </w:hyperlink>
        </w:p>
        <w:p w14:paraId="3CA03657" w14:textId="77777777" w:rsidR="00710AE3" w:rsidRDefault="00710AE3">
          <w:pPr>
            <w:pStyle w:val="TM2"/>
            <w:tabs>
              <w:tab w:val="right" w:leader="dot" w:pos="9061"/>
            </w:tabs>
            <w:rPr>
              <w:noProof/>
            </w:rPr>
          </w:pPr>
          <w:hyperlink w:anchor="_Toc224419692" w:history="1">
            <w:r>
              <w:rPr>
                <w:rStyle w:val="Lienhypertexte"/>
                <w:noProof/>
              </w:rPr>
              <w:t>3.1  Évolution historique des flux d'IDE</w:t>
            </w:r>
            <w:r>
              <w:rPr>
                <w:noProof/>
              </w:rPr>
              <w:tab/>
            </w:r>
            <w:r>
              <w:rPr>
                <w:noProof/>
              </w:rPr>
              <w:fldChar w:fldCharType="begin"/>
            </w:r>
            <w:r>
              <w:rPr>
                <w:noProof/>
              </w:rPr>
              <w:instrText xml:space="preserve"> PAGEREF _Toc224419692 \h </w:instrText>
            </w:r>
            <w:r>
              <w:rPr>
                <w:noProof/>
              </w:rPr>
            </w:r>
            <w:r>
              <w:rPr>
                <w:noProof/>
              </w:rPr>
              <w:fldChar w:fldCharType="separate"/>
            </w:r>
            <w:r>
              <w:rPr>
                <w:noProof/>
              </w:rPr>
              <w:t>12</w:t>
            </w:r>
            <w:r>
              <w:rPr>
                <w:noProof/>
              </w:rPr>
              <w:fldChar w:fldCharType="end"/>
            </w:r>
          </w:hyperlink>
        </w:p>
        <w:p w14:paraId="69518856" w14:textId="77777777" w:rsidR="00710AE3" w:rsidRDefault="00710AE3">
          <w:pPr>
            <w:pStyle w:val="TM2"/>
            <w:tabs>
              <w:tab w:val="right" w:leader="dot" w:pos="9061"/>
            </w:tabs>
            <w:rPr>
              <w:noProof/>
            </w:rPr>
          </w:pPr>
          <w:hyperlink w:anchor="_Toc224419693" w:history="1">
            <w:r>
              <w:rPr>
                <w:rStyle w:val="Lienhypertexte"/>
                <w:noProof/>
              </w:rPr>
              <w:t>3.2  Structure sectorielle et politique d'attractivité</w:t>
            </w:r>
            <w:r>
              <w:rPr>
                <w:noProof/>
              </w:rPr>
              <w:tab/>
            </w:r>
            <w:r>
              <w:rPr>
                <w:noProof/>
              </w:rPr>
              <w:fldChar w:fldCharType="begin"/>
            </w:r>
            <w:r>
              <w:rPr>
                <w:noProof/>
              </w:rPr>
              <w:instrText xml:space="preserve"> PAGEREF _Toc224419693 \h </w:instrText>
            </w:r>
            <w:r>
              <w:rPr>
                <w:noProof/>
              </w:rPr>
            </w:r>
            <w:r>
              <w:rPr>
                <w:noProof/>
              </w:rPr>
              <w:fldChar w:fldCharType="separate"/>
            </w:r>
            <w:r>
              <w:rPr>
                <w:noProof/>
              </w:rPr>
              <w:t>12</w:t>
            </w:r>
            <w:r>
              <w:rPr>
                <w:noProof/>
              </w:rPr>
              <w:fldChar w:fldCharType="end"/>
            </w:r>
          </w:hyperlink>
        </w:p>
        <w:p w14:paraId="77E8382F" w14:textId="77777777" w:rsidR="00710AE3" w:rsidRDefault="00710AE3">
          <w:pPr>
            <w:pStyle w:val="TM1"/>
            <w:tabs>
              <w:tab w:val="right" w:leader="dot" w:pos="9061"/>
            </w:tabs>
            <w:rPr>
              <w:noProof/>
            </w:rPr>
          </w:pPr>
          <w:hyperlink w:anchor="_Toc224419694" w:history="1">
            <w:r>
              <w:rPr>
                <w:rStyle w:val="Lienhypertexte"/>
                <w:noProof/>
              </w:rPr>
              <w:t>1.  Construction du panel de données réelles</w:t>
            </w:r>
            <w:r>
              <w:rPr>
                <w:noProof/>
              </w:rPr>
              <w:tab/>
            </w:r>
            <w:r>
              <w:rPr>
                <w:noProof/>
              </w:rPr>
              <w:fldChar w:fldCharType="begin"/>
            </w:r>
            <w:r>
              <w:rPr>
                <w:noProof/>
              </w:rPr>
              <w:instrText xml:space="preserve"> PAGEREF _Toc224419694 \h </w:instrText>
            </w:r>
            <w:r>
              <w:rPr>
                <w:noProof/>
              </w:rPr>
            </w:r>
            <w:r>
              <w:rPr>
                <w:noProof/>
              </w:rPr>
              <w:fldChar w:fldCharType="separate"/>
            </w:r>
            <w:r>
              <w:rPr>
                <w:noProof/>
              </w:rPr>
              <w:t>15</w:t>
            </w:r>
            <w:r>
              <w:rPr>
                <w:noProof/>
              </w:rPr>
              <w:fldChar w:fldCharType="end"/>
            </w:r>
          </w:hyperlink>
        </w:p>
        <w:p w14:paraId="22C06753" w14:textId="77777777" w:rsidR="00710AE3" w:rsidRDefault="00710AE3">
          <w:pPr>
            <w:pStyle w:val="TM2"/>
            <w:tabs>
              <w:tab w:val="right" w:leader="dot" w:pos="9061"/>
            </w:tabs>
            <w:rPr>
              <w:noProof/>
            </w:rPr>
          </w:pPr>
          <w:hyperlink w:anchor="_Toc224419695" w:history="1">
            <w:r>
              <w:rPr>
                <w:rStyle w:val="Lienhypertexte"/>
                <w:noProof/>
              </w:rPr>
              <w:t>1.1  Démarche et sources</w:t>
            </w:r>
            <w:r>
              <w:rPr>
                <w:noProof/>
              </w:rPr>
              <w:tab/>
            </w:r>
            <w:r>
              <w:rPr>
                <w:noProof/>
              </w:rPr>
              <w:fldChar w:fldCharType="begin"/>
            </w:r>
            <w:r>
              <w:rPr>
                <w:noProof/>
              </w:rPr>
              <w:instrText xml:space="preserve"> PAGEREF _Toc224419695 \h </w:instrText>
            </w:r>
            <w:r>
              <w:rPr>
                <w:noProof/>
              </w:rPr>
            </w:r>
            <w:r>
              <w:rPr>
                <w:noProof/>
              </w:rPr>
              <w:fldChar w:fldCharType="separate"/>
            </w:r>
            <w:r>
              <w:rPr>
                <w:noProof/>
              </w:rPr>
              <w:t>15</w:t>
            </w:r>
            <w:r>
              <w:rPr>
                <w:noProof/>
              </w:rPr>
              <w:fldChar w:fldCharType="end"/>
            </w:r>
          </w:hyperlink>
        </w:p>
        <w:p w14:paraId="4A48A58E" w14:textId="77777777" w:rsidR="00710AE3" w:rsidRDefault="00710AE3">
          <w:pPr>
            <w:pStyle w:val="TM2"/>
            <w:tabs>
              <w:tab w:val="right" w:leader="dot" w:pos="9061"/>
            </w:tabs>
            <w:rPr>
              <w:noProof/>
            </w:rPr>
          </w:pPr>
          <w:hyperlink w:anchor="_Toc224419696" w:history="1">
            <w:r>
              <w:rPr>
                <w:rStyle w:val="Lienhypertexte"/>
                <w:noProof/>
              </w:rPr>
              <w:t>1.2  Sélection du panel</w:t>
            </w:r>
            <w:r>
              <w:rPr>
                <w:noProof/>
              </w:rPr>
              <w:tab/>
            </w:r>
            <w:r>
              <w:rPr>
                <w:noProof/>
              </w:rPr>
              <w:fldChar w:fldCharType="begin"/>
            </w:r>
            <w:r>
              <w:rPr>
                <w:noProof/>
              </w:rPr>
              <w:instrText xml:space="preserve"> PAGEREF _Toc224419696 \h </w:instrText>
            </w:r>
            <w:r>
              <w:rPr>
                <w:noProof/>
              </w:rPr>
            </w:r>
            <w:r>
              <w:rPr>
                <w:noProof/>
              </w:rPr>
              <w:fldChar w:fldCharType="separate"/>
            </w:r>
            <w:r>
              <w:rPr>
                <w:noProof/>
              </w:rPr>
              <w:t>15</w:t>
            </w:r>
            <w:r>
              <w:rPr>
                <w:noProof/>
              </w:rPr>
              <w:fldChar w:fldCharType="end"/>
            </w:r>
          </w:hyperlink>
        </w:p>
        <w:p w14:paraId="60042096" w14:textId="77777777" w:rsidR="00710AE3" w:rsidRDefault="00710AE3">
          <w:pPr>
            <w:pStyle w:val="TM2"/>
            <w:tabs>
              <w:tab w:val="right" w:leader="dot" w:pos="9061"/>
            </w:tabs>
            <w:rPr>
              <w:noProof/>
            </w:rPr>
          </w:pPr>
          <w:hyperlink w:anchor="_Toc224419697" w:history="1">
            <w:r>
              <w:rPr>
                <w:rStyle w:val="Lienhypertexte"/>
                <w:noProof/>
              </w:rPr>
              <w:t>1.3  Statistiques descriptives</w:t>
            </w:r>
            <w:r>
              <w:rPr>
                <w:noProof/>
              </w:rPr>
              <w:tab/>
            </w:r>
            <w:r>
              <w:rPr>
                <w:noProof/>
              </w:rPr>
              <w:fldChar w:fldCharType="begin"/>
            </w:r>
            <w:r>
              <w:rPr>
                <w:noProof/>
              </w:rPr>
              <w:instrText xml:space="preserve"> PAGEREF _Toc224419697 \h </w:instrText>
            </w:r>
            <w:r>
              <w:rPr>
                <w:noProof/>
              </w:rPr>
            </w:r>
            <w:r>
              <w:rPr>
                <w:noProof/>
              </w:rPr>
              <w:fldChar w:fldCharType="separate"/>
            </w:r>
            <w:r>
              <w:rPr>
                <w:noProof/>
              </w:rPr>
              <w:t>16</w:t>
            </w:r>
            <w:r>
              <w:rPr>
                <w:noProof/>
              </w:rPr>
              <w:fldChar w:fldCharType="end"/>
            </w:r>
          </w:hyperlink>
        </w:p>
        <w:p w14:paraId="1962F8D4" w14:textId="77777777" w:rsidR="00710AE3" w:rsidRDefault="00710AE3">
          <w:pPr>
            <w:pStyle w:val="TM1"/>
            <w:tabs>
              <w:tab w:val="right" w:leader="dot" w:pos="9061"/>
            </w:tabs>
            <w:rPr>
              <w:noProof/>
            </w:rPr>
          </w:pPr>
          <w:hyperlink w:anchor="_Toc224419698" w:history="1">
            <w:r>
              <w:rPr>
                <w:rStyle w:val="Lienhypertexte"/>
                <w:noProof/>
              </w:rPr>
              <w:t>2.  Méthodologie économétrique</w:t>
            </w:r>
            <w:r>
              <w:rPr>
                <w:noProof/>
              </w:rPr>
              <w:tab/>
            </w:r>
            <w:r>
              <w:rPr>
                <w:noProof/>
              </w:rPr>
              <w:fldChar w:fldCharType="begin"/>
            </w:r>
            <w:r>
              <w:rPr>
                <w:noProof/>
              </w:rPr>
              <w:instrText xml:space="preserve"> PAGEREF _Toc224419698 \h </w:instrText>
            </w:r>
            <w:r>
              <w:rPr>
                <w:noProof/>
              </w:rPr>
            </w:r>
            <w:r>
              <w:rPr>
                <w:noProof/>
              </w:rPr>
              <w:fldChar w:fldCharType="separate"/>
            </w:r>
            <w:r>
              <w:rPr>
                <w:noProof/>
              </w:rPr>
              <w:t>18</w:t>
            </w:r>
            <w:r>
              <w:rPr>
                <w:noProof/>
              </w:rPr>
              <w:fldChar w:fldCharType="end"/>
            </w:r>
          </w:hyperlink>
        </w:p>
        <w:p w14:paraId="04F0AACC" w14:textId="77777777" w:rsidR="00710AE3" w:rsidRDefault="00710AE3">
          <w:pPr>
            <w:pStyle w:val="TM2"/>
            <w:tabs>
              <w:tab w:val="right" w:leader="dot" w:pos="9061"/>
            </w:tabs>
            <w:rPr>
              <w:noProof/>
            </w:rPr>
          </w:pPr>
          <w:hyperlink w:anchor="_Toc224419699" w:history="1">
            <w:r>
              <w:rPr>
                <w:rStyle w:val="Lienhypertexte"/>
                <w:noProof/>
              </w:rPr>
              <w:t>2.1  Le modèle à données de panel</w:t>
            </w:r>
            <w:r>
              <w:rPr>
                <w:noProof/>
              </w:rPr>
              <w:tab/>
            </w:r>
            <w:r>
              <w:rPr>
                <w:noProof/>
              </w:rPr>
              <w:fldChar w:fldCharType="begin"/>
            </w:r>
            <w:r>
              <w:rPr>
                <w:noProof/>
              </w:rPr>
              <w:instrText xml:space="preserve"> PAGEREF _Toc224419699 \h </w:instrText>
            </w:r>
            <w:r>
              <w:rPr>
                <w:noProof/>
              </w:rPr>
            </w:r>
            <w:r>
              <w:rPr>
                <w:noProof/>
              </w:rPr>
              <w:fldChar w:fldCharType="separate"/>
            </w:r>
            <w:r>
              <w:rPr>
                <w:noProof/>
              </w:rPr>
              <w:t>18</w:t>
            </w:r>
            <w:r>
              <w:rPr>
                <w:noProof/>
              </w:rPr>
              <w:fldChar w:fldCharType="end"/>
            </w:r>
          </w:hyperlink>
        </w:p>
        <w:p w14:paraId="1FD4F60E" w14:textId="77777777" w:rsidR="00710AE3" w:rsidRDefault="00710AE3">
          <w:pPr>
            <w:pStyle w:val="TM2"/>
            <w:tabs>
              <w:tab w:val="right" w:leader="dot" w:pos="9061"/>
            </w:tabs>
            <w:rPr>
              <w:noProof/>
            </w:rPr>
          </w:pPr>
          <w:hyperlink w:anchor="_Toc224419700" w:history="1">
            <w:r>
              <w:rPr>
                <w:rStyle w:val="Lienhypertexte"/>
                <w:noProof/>
              </w:rPr>
              <w:t>2.2  Test de Hausman et sélection du modèle</w:t>
            </w:r>
            <w:r>
              <w:rPr>
                <w:noProof/>
              </w:rPr>
              <w:tab/>
            </w:r>
            <w:r>
              <w:rPr>
                <w:noProof/>
              </w:rPr>
              <w:fldChar w:fldCharType="begin"/>
            </w:r>
            <w:r>
              <w:rPr>
                <w:noProof/>
              </w:rPr>
              <w:instrText xml:space="preserve"> PAGEREF _Toc224419700 \h </w:instrText>
            </w:r>
            <w:r>
              <w:rPr>
                <w:noProof/>
              </w:rPr>
            </w:r>
            <w:r>
              <w:rPr>
                <w:noProof/>
              </w:rPr>
              <w:fldChar w:fldCharType="separate"/>
            </w:r>
            <w:r>
              <w:rPr>
                <w:noProof/>
              </w:rPr>
              <w:t>18</w:t>
            </w:r>
            <w:r>
              <w:rPr>
                <w:noProof/>
              </w:rPr>
              <w:fldChar w:fldCharType="end"/>
            </w:r>
          </w:hyperlink>
        </w:p>
        <w:p w14:paraId="47F0356D" w14:textId="77777777" w:rsidR="00710AE3" w:rsidRDefault="00710AE3">
          <w:pPr>
            <w:pStyle w:val="TM1"/>
            <w:tabs>
              <w:tab w:val="right" w:leader="dot" w:pos="9061"/>
            </w:tabs>
            <w:rPr>
              <w:noProof/>
            </w:rPr>
          </w:pPr>
          <w:hyperlink w:anchor="_Toc224419701" w:history="1">
            <w:r>
              <w:rPr>
                <w:rStyle w:val="Lienhypertexte"/>
                <w:noProof/>
              </w:rPr>
              <w:t>3.  Résultats — IDE entrants en Afrique</w:t>
            </w:r>
            <w:r>
              <w:rPr>
                <w:noProof/>
              </w:rPr>
              <w:tab/>
            </w:r>
            <w:r>
              <w:rPr>
                <w:noProof/>
              </w:rPr>
              <w:fldChar w:fldCharType="begin"/>
            </w:r>
            <w:r>
              <w:rPr>
                <w:noProof/>
              </w:rPr>
              <w:instrText xml:space="preserve"> PAGEREF _Toc224419701 \h </w:instrText>
            </w:r>
            <w:r>
              <w:rPr>
                <w:noProof/>
              </w:rPr>
            </w:r>
            <w:r>
              <w:rPr>
                <w:noProof/>
              </w:rPr>
              <w:fldChar w:fldCharType="separate"/>
            </w:r>
            <w:r>
              <w:rPr>
                <w:noProof/>
              </w:rPr>
              <w:t>20</w:t>
            </w:r>
            <w:r>
              <w:rPr>
                <w:noProof/>
              </w:rPr>
              <w:fldChar w:fldCharType="end"/>
            </w:r>
          </w:hyperlink>
        </w:p>
        <w:p w14:paraId="653E753B" w14:textId="77777777" w:rsidR="00710AE3" w:rsidRDefault="00710AE3">
          <w:pPr>
            <w:pStyle w:val="TM2"/>
            <w:tabs>
              <w:tab w:val="right" w:leader="dot" w:pos="9061"/>
            </w:tabs>
            <w:rPr>
              <w:noProof/>
            </w:rPr>
          </w:pPr>
          <w:hyperlink w:anchor="_Toc224419702" w:history="1">
            <w:r>
              <w:rPr>
                <w:rStyle w:val="Lienhypertexte"/>
                <w:noProof/>
              </w:rPr>
              <w:t>3.1  Tableau des résultats</w:t>
            </w:r>
            <w:r>
              <w:rPr>
                <w:noProof/>
              </w:rPr>
              <w:tab/>
            </w:r>
            <w:r>
              <w:rPr>
                <w:noProof/>
              </w:rPr>
              <w:fldChar w:fldCharType="begin"/>
            </w:r>
            <w:r>
              <w:rPr>
                <w:noProof/>
              </w:rPr>
              <w:instrText xml:space="preserve"> PAGEREF _Toc224419702 \h </w:instrText>
            </w:r>
            <w:r>
              <w:rPr>
                <w:noProof/>
              </w:rPr>
            </w:r>
            <w:r>
              <w:rPr>
                <w:noProof/>
              </w:rPr>
              <w:fldChar w:fldCharType="separate"/>
            </w:r>
            <w:r>
              <w:rPr>
                <w:noProof/>
              </w:rPr>
              <w:t>20</w:t>
            </w:r>
            <w:r>
              <w:rPr>
                <w:noProof/>
              </w:rPr>
              <w:fldChar w:fldCharType="end"/>
            </w:r>
          </w:hyperlink>
        </w:p>
        <w:p w14:paraId="28244216" w14:textId="77777777" w:rsidR="00710AE3" w:rsidRDefault="00710AE3">
          <w:pPr>
            <w:pStyle w:val="TM2"/>
            <w:tabs>
              <w:tab w:val="right" w:leader="dot" w:pos="9061"/>
            </w:tabs>
            <w:rPr>
              <w:noProof/>
            </w:rPr>
          </w:pPr>
          <w:hyperlink w:anchor="_Toc224419703" w:history="1">
            <w:r>
              <w:rPr>
                <w:rStyle w:val="Lienhypertexte"/>
                <w:noProof/>
              </w:rPr>
              <w:t>3.2  Analyse des résultats : convergences et écarts avec la théorie</w:t>
            </w:r>
            <w:r>
              <w:rPr>
                <w:noProof/>
              </w:rPr>
              <w:tab/>
            </w:r>
            <w:r>
              <w:rPr>
                <w:noProof/>
              </w:rPr>
              <w:fldChar w:fldCharType="begin"/>
            </w:r>
            <w:r>
              <w:rPr>
                <w:noProof/>
              </w:rPr>
              <w:instrText xml:space="preserve"> PAGEREF _Toc224419703 \h </w:instrText>
            </w:r>
            <w:r>
              <w:rPr>
                <w:noProof/>
              </w:rPr>
            </w:r>
            <w:r>
              <w:rPr>
                <w:noProof/>
              </w:rPr>
              <w:fldChar w:fldCharType="separate"/>
            </w:r>
            <w:r>
              <w:rPr>
                <w:noProof/>
              </w:rPr>
              <w:t>21</w:t>
            </w:r>
            <w:r>
              <w:rPr>
                <w:noProof/>
              </w:rPr>
              <w:fldChar w:fldCharType="end"/>
            </w:r>
          </w:hyperlink>
        </w:p>
        <w:p w14:paraId="1207FDD1" w14:textId="77777777" w:rsidR="00710AE3" w:rsidRDefault="00710AE3">
          <w:pPr>
            <w:pStyle w:val="TM3"/>
            <w:tabs>
              <w:tab w:val="right" w:leader="dot" w:pos="9061"/>
            </w:tabs>
            <w:rPr>
              <w:noProof/>
            </w:rPr>
          </w:pPr>
          <w:hyperlink w:anchor="_Toc224419704" w:history="1">
            <w:r>
              <w:rPr>
                <w:rStyle w:val="Lienhypertexte"/>
                <w:noProof/>
              </w:rPr>
              <w:t>Résultats conformes à la théorie</w:t>
            </w:r>
            <w:r>
              <w:rPr>
                <w:noProof/>
              </w:rPr>
              <w:tab/>
            </w:r>
            <w:r>
              <w:rPr>
                <w:noProof/>
              </w:rPr>
              <w:fldChar w:fldCharType="begin"/>
            </w:r>
            <w:r>
              <w:rPr>
                <w:noProof/>
              </w:rPr>
              <w:instrText xml:space="preserve"> PAGEREF _Toc224419704 \h </w:instrText>
            </w:r>
            <w:r>
              <w:rPr>
                <w:noProof/>
              </w:rPr>
            </w:r>
            <w:r>
              <w:rPr>
                <w:noProof/>
              </w:rPr>
              <w:fldChar w:fldCharType="separate"/>
            </w:r>
            <w:r>
              <w:rPr>
                <w:noProof/>
              </w:rPr>
              <w:t>21</w:t>
            </w:r>
            <w:r>
              <w:rPr>
                <w:noProof/>
              </w:rPr>
              <w:fldChar w:fldCharType="end"/>
            </w:r>
          </w:hyperlink>
        </w:p>
        <w:p w14:paraId="57A0FAC3" w14:textId="77777777" w:rsidR="00710AE3" w:rsidRDefault="00710AE3">
          <w:pPr>
            <w:pStyle w:val="TM3"/>
            <w:tabs>
              <w:tab w:val="right" w:leader="dot" w:pos="9061"/>
            </w:tabs>
            <w:rPr>
              <w:noProof/>
            </w:rPr>
          </w:pPr>
          <w:hyperlink w:anchor="_Toc224419705" w:history="1">
            <w:r>
              <w:rPr>
                <w:rStyle w:val="Lienhypertexte"/>
                <w:noProof/>
              </w:rPr>
              <w:t>Résultats en écart avec la théorie : le paradoxe des ressources naturelles</w:t>
            </w:r>
            <w:r>
              <w:rPr>
                <w:noProof/>
              </w:rPr>
              <w:tab/>
            </w:r>
            <w:r>
              <w:rPr>
                <w:noProof/>
              </w:rPr>
              <w:fldChar w:fldCharType="begin"/>
            </w:r>
            <w:r>
              <w:rPr>
                <w:noProof/>
              </w:rPr>
              <w:instrText xml:space="preserve"> PAGEREF _Toc224419705 \h </w:instrText>
            </w:r>
            <w:r>
              <w:rPr>
                <w:noProof/>
              </w:rPr>
            </w:r>
            <w:r>
              <w:rPr>
                <w:noProof/>
              </w:rPr>
              <w:fldChar w:fldCharType="separate"/>
            </w:r>
            <w:r>
              <w:rPr>
                <w:noProof/>
              </w:rPr>
              <w:t>21</w:t>
            </w:r>
            <w:r>
              <w:rPr>
                <w:noProof/>
              </w:rPr>
              <w:fldChar w:fldCharType="end"/>
            </w:r>
          </w:hyperlink>
        </w:p>
        <w:p w14:paraId="55C101C0" w14:textId="77777777" w:rsidR="00710AE3" w:rsidRDefault="00710AE3">
          <w:pPr>
            <w:pStyle w:val="TM1"/>
            <w:tabs>
              <w:tab w:val="right" w:leader="dot" w:pos="9061"/>
            </w:tabs>
            <w:rPr>
              <w:noProof/>
            </w:rPr>
          </w:pPr>
          <w:hyperlink w:anchor="_Toc224419706" w:history="1">
            <w:r>
              <w:rPr>
                <w:rStyle w:val="Lienhypertexte"/>
                <w:noProof/>
              </w:rPr>
              <w:t>4.  Résultats — IDE sortants du Maroc</w:t>
            </w:r>
            <w:r>
              <w:rPr>
                <w:noProof/>
              </w:rPr>
              <w:tab/>
            </w:r>
            <w:r>
              <w:rPr>
                <w:noProof/>
              </w:rPr>
              <w:fldChar w:fldCharType="begin"/>
            </w:r>
            <w:r>
              <w:rPr>
                <w:noProof/>
              </w:rPr>
              <w:instrText xml:space="preserve"> PAGEREF _Toc224419706 \h </w:instrText>
            </w:r>
            <w:r>
              <w:rPr>
                <w:noProof/>
              </w:rPr>
            </w:r>
            <w:r>
              <w:rPr>
                <w:noProof/>
              </w:rPr>
              <w:fldChar w:fldCharType="separate"/>
            </w:r>
            <w:r>
              <w:rPr>
                <w:noProof/>
              </w:rPr>
              <w:t>23</w:t>
            </w:r>
            <w:r>
              <w:rPr>
                <w:noProof/>
              </w:rPr>
              <w:fldChar w:fldCharType="end"/>
            </w:r>
          </w:hyperlink>
        </w:p>
        <w:p w14:paraId="686D06B4" w14:textId="77777777" w:rsidR="00710AE3" w:rsidRDefault="00710AE3">
          <w:pPr>
            <w:pStyle w:val="TM2"/>
            <w:tabs>
              <w:tab w:val="right" w:leader="dot" w:pos="9061"/>
            </w:tabs>
            <w:rPr>
              <w:noProof/>
            </w:rPr>
          </w:pPr>
          <w:hyperlink w:anchor="_Toc224419707" w:history="1">
            <w:r>
              <w:rPr>
                <w:rStyle w:val="Lienhypertexte"/>
                <w:noProof/>
              </w:rPr>
              <w:t>4.1  Modèle OLS sur série temporelle</w:t>
            </w:r>
            <w:r>
              <w:rPr>
                <w:noProof/>
              </w:rPr>
              <w:tab/>
            </w:r>
            <w:r>
              <w:rPr>
                <w:noProof/>
              </w:rPr>
              <w:fldChar w:fldCharType="begin"/>
            </w:r>
            <w:r>
              <w:rPr>
                <w:noProof/>
              </w:rPr>
              <w:instrText xml:space="preserve"> PAGEREF _Toc224419707 \h </w:instrText>
            </w:r>
            <w:r>
              <w:rPr>
                <w:noProof/>
              </w:rPr>
            </w:r>
            <w:r>
              <w:rPr>
                <w:noProof/>
              </w:rPr>
              <w:fldChar w:fldCharType="separate"/>
            </w:r>
            <w:r>
              <w:rPr>
                <w:noProof/>
              </w:rPr>
              <w:t>23</w:t>
            </w:r>
            <w:r>
              <w:rPr>
                <w:noProof/>
              </w:rPr>
              <w:fldChar w:fldCharType="end"/>
            </w:r>
          </w:hyperlink>
        </w:p>
        <w:p w14:paraId="39A70D12" w14:textId="77777777" w:rsidR="00710AE3" w:rsidRDefault="00710AE3">
          <w:pPr>
            <w:pStyle w:val="TM2"/>
            <w:tabs>
              <w:tab w:val="right" w:leader="dot" w:pos="9061"/>
            </w:tabs>
            <w:rPr>
              <w:noProof/>
            </w:rPr>
          </w:pPr>
          <w:hyperlink w:anchor="_Toc224419708" w:history="1">
            <w:r>
              <w:rPr>
                <w:rStyle w:val="Lienhypertexte"/>
                <w:noProof/>
              </w:rPr>
              <w:t>4.2  Interprétation : la mécanique de l'internationalisation marocaine</w:t>
            </w:r>
            <w:r>
              <w:rPr>
                <w:noProof/>
              </w:rPr>
              <w:tab/>
            </w:r>
            <w:r>
              <w:rPr>
                <w:noProof/>
              </w:rPr>
              <w:fldChar w:fldCharType="begin"/>
            </w:r>
            <w:r>
              <w:rPr>
                <w:noProof/>
              </w:rPr>
              <w:instrText xml:space="preserve"> PAGEREF _Toc224419708 \h </w:instrText>
            </w:r>
            <w:r>
              <w:rPr>
                <w:noProof/>
              </w:rPr>
            </w:r>
            <w:r>
              <w:rPr>
                <w:noProof/>
              </w:rPr>
              <w:fldChar w:fldCharType="separate"/>
            </w:r>
            <w:r>
              <w:rPr>
                <w:noProof/>
              </w:rPr>
              <w:t>23</w:t>
            </w:r>
            <w:r>
              <w:rPr>
                <w:noProof/>
              </w:rPr>
              <w:fldChar w:fldCharType="end"/>
            </w:r>
          </w:hyperlink>
        </w:p>
        <w:p w14:paraId="58AD31AC" w14:textId="77777777" w:rsidR="00710AE3" w:rsidRDefault="00710AE3">
          <w:pPr>
            <w:pStyle w:val="TM1"/>
            <w:tabs>
              <w:tab w:val="right" w:leader="dot" w:pos="9061"/>
            </w:tabs>
            <w:rPr>
              <w:noProof/>
            </w:rPr>
          </w:pPr>
          <w:hyperlink w:anchor="_Toc224419709" w:history="1">
            <w:r>
              <w:rPr>
                <w:rStyle w:val="Lienhypertexte"/>
                <w:noProof/>
              </w:rPr>
              <w:t>1.  Profil comparatif : le Maroc face à ses pairs africains</w:t>
            </w:r>
            <w:r>
              <w:rPr>
                <w:noProof/>
              </w:rPr>
              <w:tab/>
            </w:r>
            <w:r>
              <w:rPr>
                <w:noProof/>
              </w:rPr>
              <w:fldChar w:fldCharType="begin"/>
            </w:r>
            <w:r>
              <w:rPr>
                <w:noProof/>
              </w:rPr>
              <w:instrText xml:space="preserve"> PAGEREF _Toc224419709 \h </w:instrText>
            </w:r>
            <w:r>
              <w:rPr>
                <w:noProof/>
              </w:rPr>
            </w:r>
            <w:r>
              <w:rPr>
                <w:noProof/>
              </w:rPr>
              <w:fldChar w:fldCharType="separate"/>
            </w:r>
            <w:r>
              <w:rPr>
                <w:noProof/>
              </w:rPr>
              <w:t>26</w:t>
            </w:r>
            <w:r>
              <w:rPr>
                <w:noProof/>
              </w:rPr>
              <w:fldChar w:fldCharType="end"/>
            </w:r>
          </w:hyperlink>
        </w:p>
        <w:p w14:paraId="07576DED" w14:textId="77777777" w:rsidR="00710AE3" w:rsidRDefault="00710AE3">
          <w:pPr>
            <w:pStyle w:val="TM2"/>
            <w:tabs>
              <w:tab w:val="right" w:leader="dot" w:pos="9061"/>
            </w:tabs>
            <w:rPr>
              <w:noProof/>
            </w:rPr>
          </w:pPr>
          <w:hyperlink w:anchor="_Toc224419710" w:history="1">
            <w:r>
              <w:rPr>
                <w:rStyle w:val="Lienhypertexte"/>
                <w:noProof/>
              </w:rPr>
              <w:t>1.1  Ce que révèlent les données réelles</w:t>
            </w:r>
            <w:r>
              <w:rPr>
                <w:noProof/>
              </w:rPr>
              <w:tab/>
            </w:r>
            <w:r>
              <w:rPr>
                <w:noProof/>
              </w:rPr>
              <w:fldChar w:fldCharType="begin"/>
            </w:r>
            <w:r>
              <w:rPr>
                <w:noProof/>
              </w:rPr>
              <w:instrText xml:space="preserve"> PAGEREF _Toc224419710 \h </w:instrText>
            </w:r>
            <w:r>
              <w:rPr>
                <w:noProof/>
              </w:rPr>
            </w:r>
            <w:r>
              <w:rPr>
                <w:noProof/>
              </w:rPr>
              <w:fldChar w:fldCharType="separate"/>
            </w:r>
            <w:r>
              <w:rPr>
                <w:noProof/>
              </w:rPr>
              <w:t>26</w:t>
            </w:r>
            <w:r>
              <w:rPr>
                <w:noProof/>
              </w:rPr>
              <w:fldChar w:fldCharType="end"/>
            </w:r>
          </w:hyperlink>
        </w:p>
        <w:p w14:paraId="4020D9CA" w14:textId="77777777" w:rsidR="00710AE3" w:rsidRDefault="00710AE3">
          <w:pPr>
            <w:pStyle w:val="TM2"/>
            <w:tabs>
              <w:tab w:val="right" w:leader="dot" w:pos="9061"/>
            </w:tabs>
            <w:rPr>
              <w:noProof/>
            </w:rPr>
          </w:pPr>
          <w:hyperlink w:anchor="_Toc224419711" w:history="1">
            <w:r>
              <w:rPr>
                <w:rStyle w:val="Lienhypertexte"/>
                <w:noProof/>
              </w:rPr>
              <w:t>1.2  Résolution du paradoxe : la qualité contre le volume</w:t>
            </w:r>
            <w:r>
              <w:rPr>
                <w:noProof/>
              </w:rPr>
              <w:tab/>
            </w:r>
            <w:r>
              <w:rPr>
                <w:noProof/>
              </w:rPr>
              <w:fldChar w:fldCharType="begin"/>
            </w:r>
            <w:r>
              <w:rPr>
                <w:noProof/>
              </w:rPr>
              <w:instrText xml:space="preserve"> PAGEREF _Toc224419711 \h </w:instrText>
            </w:r>
            <w:r>
              <w:rPr>
                <w:noProof/>
              </w:rPr>
            </w:r>
            <w:r>
              <w:rPr>
                <w:noProof/>
              </w:rPr>
              <w:fldChar w:fldCharType="separate"/>
            </w:r>
            <w:r>
              <w:rPr>
                <w:noProof/>
              </w:rPr>
              <w:t>28</w:t>
            </w:r>
            <w:r>
              <w:rPr>
                <w:noProof/>
              </w:rPr>
              <w:fldChar w:fldCharType="end"/>
            </w:r>
          </w:hyperlink>
        </w:p>
        <w:p w14:paraId="474FF92B" w14:textId="77777777" w:rsidR="00710AE3" w:rsidRDefault="00710AE3">
          <w:pPr>
            <w:pStyle w:val="TM1"/>
            <w:tabs>
              <w:tab w:val="right" w:leader="dot" w:pos="9061"/>
            </w:tabs>
            <w:rPr>
              <w:noProof/>
            </w:rPr>
          </w:pPr>
          <w:hyperlink w:anchor="_Toc224419712" w:history="1">
            <w:r>
              <w:rPr>
                <w:rStyle w:val="Lienhypertexte"/>
                <w:noProof/>
              </w:rPr>
              <w:t>2.  Le Maroc récepteur : impact macroéconomique des IDE</w:t>
            </w:r>
            <w:r>
              <w:rPr>
                <w:noProof/>
              </w:rPr>
              <w:tab/>
            </w:r>
            <w:r>
              <w:rPr>
                <w:noProof/>
              </w:rPr>
              <w:fldChar w:fldCharType="begin"/>
            </w:r>
            <w:r>
              <w:rPr>
                <w:noProof/>
              </w:rPr>
              <w:instrText xml:space="preserve"> PAGEREF _Toc224419712 \h </w:instrText>
            </w:r>
            <w:r>
              <w:rPr>
                <w:noProof/>
              </w:rPr>
            </w:r>
            <w:r>
              <w:rPr>
                <w:noProof/>
              </w:rPr>
              <w:fldChar w:fldCharType="separate"/>
            </w:r>
            <w:r>
              <w:rPr>
                <w:noProof/>
              </w:rPr>
              <w:t>29</w:t>
            </w:r>
            <w:r>
              <w:rPr>
                <w:noProof/>
              </w:rPr>
              <w:fldChar w:fldCharType="end"/>
            </w:r>
          </w:hyperlink>
        </w:p>
        <w:p w14:paraId="6216B7D7" w14:textId="77777777" w:rsidR="00710AE3" w:rsidRDefault="00710AE3">
          <w:pPr>
            <w:pStyle w:val="TM2"/>
            <w:tabs>
              <w:tab w:val="right" w:leader="dot" w:pos="9061"/>
            </w:tabs>
            <w:rPr>
              <w:noProof/>
            </w:rPr>
          </w:pPr>
          <w:hyperlink w:anchor="_Toc224419713" w:history="1">
            <w:r>
              <w:rPr>
                <w:rStyle w:val="Lienhypertexte"/>
                <w:noProof/>
              </w:rPr>
              <w:t>2.1  Canaux de transmission sur la croissance</w:t>
            </w:r>
            <w:r>
              <w:rPr>
                <w:noProof/>
              </w:rPr>
              <w:tab/>
            </w:r>
            <w:r>
              <w:rPr>
                <w:noProof/>
              </w:rPr>
              <w:fldChar w:fldCharType="begin"/>
            </w:r>
            <w:r>
              <w:rPr>
                <w:noProof/>
              </w:rPr>
              <w:instrText xml:space="preserve"> PAGEREF _Toc224419713 \h </w:instrText>
            </w:r>
            <w:r>
              <w:rPr>
                <w:noProof/>
              </w:rPr>
            </w:r>
            <w:r>
              <w:rPr>
                <w:noProof/>
              </w:rPr>
              <w:fldChar w:fldCharType="separate"/>
            </w:r>
            <w:r>
              <w:rPr>
                <w:noProof/>
              </w:rPr>
              <w:t>29</w:t>
            </w:r>
            <w:r>
              <w:rPr>
                <w:noProof/>
              </w:rPr>
              <w:fldChar w:fldCharType="end"/>
            </w:r>
          </w:hyperlink>
        </w:p>
        <w:p w14:paraId="1C97AF6A" w14:textId="77777777" w:rsidR="00710AE3" w:rsidRDefault="00710AE3">
          <w:pPr>
            <w:pStyle w:val="TM2"/>
            <w:tabs>
              <w:tab w:val="right" w:leader="dot" w:pos="9061"/>
            </w:tabs>
            <w:rPr>
              <w:noProof/>
            </w:rPr>
          </w:pPr>
          <w:hyperlink w:anchor="_Toc224419714" w:history="1">
            <w:r>
              <w:rPr>
                <w:rStyle w:val="Lienhypertexte"/>
                <w:noProof/>
              </w:rPr>
              <w:t>2.2  Emploi et transformation structurelle</w:t>
            </w:r>
            <w:r>
              <w:rPr>
                <w:noProof/>
              </w:rPr>
              <w:tab/>
            </w:r>
            <w:r>
              <w:rPr>
                <w:noProof/>
              </w:rPr>
              <w:fldChar w:fldCharType="begin"/>
            </w:r>
            <w:r>
              <w:rPr>
                <w:noProof/>
              </w:rPr>
              <w:instrText xml:space="preserve"> PAGEREF _Toc224419714 \h </w:instrText>
            </w:r>
            <w:r>
              <w:rPr>
                <w:noProof/>
              </w:rPr>
            </w:r>
            <w:r>
              <w:rPr>
                <w:noProof/>
              </w:rPr>
              <w:fldChar w:fldCharType="separate"/>
            </w:r>
            <w:r>
              <w:rPr>
                <w:noProof/>
              </w:rPr>
              <w:t>29</w:t>
            </w:r>
            <w:r>
              <w:rPr>
                <w:noProof/>
              </w:rPr>
              <w:fldChar w:fldCharType="end"/>
            </w:r>
          </w:hyperlink>
        </w:p>
        <w:p w14:paraId="0231361A" w14:textId="77777777" w:rsidR="00710AE3" w:rsidRDefault="00710AE3">
          <w:pPr>
            <w:pStyle w:val="TM1"/>
            <w:tabs>
              <w:tab w:val="right" w:leader="dot" w:pos="9061"/>
            </w:tabs>
            <w:rPr>
              <w:noProof/>
            </w:rPr>
          </w:pPr>
          <w:hyperlink w:anchor="_Toc224419715" w:history="1">
            <w:r>
              <w:rPr>
                <w:rStyle w:val="Lienhypertexte"/>
                <w:noProof/>
              </w:rPr>
              <w:t>3.  Le Maroc émetteur : stratégie de hub africain</w:t>
            </w:r>
            <w:r>
              <w:rPr>
                <w:noProof/>
              </w:rPr>
              <w:tab/>
            </w:r>
            <w:r>
              <w:rPr>
                <w:noProof/>
              </w:rPr>
              <w:fldChar w:fldCharType="begin"/>
            </w:r>
            <w:r>
              <w:rPr>
                <w:noProof/>
              </w:rPr>
              <w:instrText xml:space="preserve"> PAGEREF _Toc224419715 \h </w:instrText>
            </w:r>
            <w:r>
              <w:rPr>
                <w:noProof/>
              </w:rPr>
            </w:r>
            <w:r>
              <w:rPr>
                <w:noProof/>
              </w:rPr>
              <w:fldChar w:fldCharType="separate"/>
            </w:r>
            <w:r>
              <w:rPr>
                <w:noProof/>
              </w:rPr>
              <w:t>30</w:t>
            </w:r>
            <w:r>
              <w:rPr>
                <w:noProof/>
              </w:rPr>
              <w:fldChar w:fldCharType="end"/>
            </w:r>
          </w:hyperlink>
        </w:p>
        <w:p w14:paraId="34F52696" w14:textId="77777777" w:rsidR="00710AE3" w:rsidRDefault="00710AE3">
          <w:pPr>
            <w:pStyle w:val="TM2"/>
            <w:tabs>
              <w:tab w:val="right" w:leader="dot" w:pos="9061"/>
            </w:tabs>
            <w:rPr>
              <w:noProof/>
            </w:rPr>
          </w:pPr>
          <w:hyperlink w:anchor="_Toc224419716" w:history="1">
            <w:r>
              <w:rPr>
                <w:rStyle w:val="Lienhypertexte"/>
                <w:noProof/>
              </w:rPr>
              <w:t>3.1  L'internationalisation des champions nationaux</w:t>
            </w:r>
            <w:r>
              <w:rPr>
                <w:noProof/>
              </w:rPr>
              <w:tab/>
            </w:r>
            <w:r>
              <w:rPr>
                <w:noProof/>
              </w:rPr>
              <w:fldChar w:fldCharType="begin"/>
            </w:r>
            <w:r>
              <w:rPr>
                <w:noProof/>
              </w:rPr>
              <w:instrText xml:space="preserve"> PAGEREF _Toc224419716 \h </w:instrText>
            </w:r>
            <w:r>
              <w:rPr>
                <w:noProof/>
              </w:rPr>
            </w:r>
            <w:r>
              <w:rPr>
                <w:noProof/>
              </w:rPr>
              <w:fldChar w:fldCharType="separate"/>
            </w:r>
            <w:r>
              <w:rPr>
                <w:noProof/>
              </w:rPr>
              <w:t>30</w:t>
            </w:r>
            <w:r>
              <w:rPr>
                <w:noProof/>
              </w:rPr>
              <w:fldChar w:fldCharType="end"/>
            </w:r>
          </w:hyperlink>
        </w:p>
        <w:p w14:paraId="3BD6299A" w14:textId="77777777" w:rsidR="00710AE3" w:rsidRDefault="00710AE3">
          <w:pPr>
            <w:pStyle w:val="TM2"/>
            <w:tabs>
              <w:tab w:val="right" w:leader="dot" w:pos="9061"/>
            </w:tabs>
            <w:rPr>
              <w:noProof/>
            </w:rPr>
          </w:pPr>
          <w:hyperlink w:anchor="_Toc224419717" w:history="1">
            <w:r>
              <w:rPr>
                <w:rStyle w:val="Lienhypertexte"/>
                <w:noProof/>
              </w:rPr>
              <w:t>3.2  Ce que confirment les données empiriques</w:t>
            </w:r>
            <w:r>
              <w:rPr>
                <w:noProof/>
              </w:rPr>
              <w:tab/>
            </w:r>
            <w:r>
              <w:rPr>
                <w:noProof/>
              </w:rPr>
              <w:fldChar w:fldCharType="begin"/>
            </w:r>
            <w:r>
              <w:rPr>
                <w:noProof/>
              </w:rPr>
              <w:instrText xml:space="preserve"> PAGEREF _Toc224419717 \h </w:instrText>
            </w:r>
            <w:r>
              <w:rPr>
                <w:noProof/>
              </w:rPr>
            </w:r>
            <w:r>
              <w:rPr>
                <w:noProof/>
              </w:rPr>
              <w:fldChar w:fldCharType="separate"/>
            </w:r>
            <w:r>
              <w:rPr>
                <w:noProof/>
              </w:rPr>
              <w:t>30</w:t>
            </w:r>
            <w:r>
              <w:rPr>
                <w:noProof/>
              </w:rPr>
              <w:fldChar w:fldCharType="end"/>
            </w:r>
          </w:hyperlink>
        </w:p>
        <w:p w14:paraId="2206D303" w14:textId="77777777" w:rsidR="00710AE3" w:rsidRDefault="00710AE3">
          <w:pPr>
            <w:pStyle w:val="TM2"/>
            <w:tabs>
              <w:tab w:val="right" w:leader="dot" w:pos="9061"/>
            </w:tabs>
            <w:rPr>
              <w:noProof/>
            </w:rPr>
          </w:pPr>
          <w:hyperlink w:anchor="_Toc224419718" w:history="1">
            <w:r>
              <w:rPr>
                <w:rStyle w:val="Lienhypertexte"/>
                <w:noProof/>
              </w:rPr>
              <w:t>3.3  Perspectives stratégiques : la ZLECAf comme accélérateur</w:t>
            </w:r>
            <w:r>
              <w:rPr>
                <w:noProof/>
              </w:rPr>
              <w:tab/>
            </w:r>
            <w:r>
              <w:rPr>
                <w:noProof/>
              </w:rPr>
              <w:fldChar w:fldCharType="begin"/>
            </w:r>
            <w:r>
              <w:rPr>
                <w:noProof/>
              </w:rPr>
              <w:instrText xml:space="preserve"> PAGEREF _Toc224419718 \h </w:instrText>
            </w:r>
            <w:r>
              <w:rPr>
                <w:noProof/>
              </w:rPr>
            </w:r>
            <w:r>
              <w:rPr>
                <w:noProof/>
              </w:rPr>
              <w:fldChar w:fldCharType="separate"/>
            </w:r>
            <w:r>
              <w:rPr>
                <w:noProof/>
              </w:rPr>
              <w:t>30</w:t>
            </w:r>
            <w:r>
              <w:rPr>
                <w:noProof/>
              </w:rPr>
              <w:fldChar w:fldCharType="end"/>
            </w:r>
          </w:hyperlink>
        </w:p>
        <w:p w14:paraId="7AD9DA4D" w14:textId="77777777" w:rsidR="00710AE3" w:rsidRDefault="00710AE3">
          <w:pPr>
            <w:pStyle w:val="TM1"/>
            <w:tabs>
              <w:tab w:val="right" w:leader="dot" w:pos="9061"/>
            </w:tabs>
            <w:rPr>
              <w:noProof/>
            </w:rPr>
          </w:pPr>
          <w:hyperlink w:anchor="_Toc224419719" w:history="1">
            <w:r>
              <w:rPr>
                <w:rStyle w:val="Lienhypertexte"/>
                <w:noProof/>
              </w:rPr>
              <w:t>CONCLUSION GÉNÉRALE</w:t>
            </w:r>
            <w:r>
              <w:rPr>
                <w:noProof/>
              </w:rPr>
              <w:tab/>
            </w:r>
            <w:r>
              <w:rPr>
                <w:noProof/>
              </w:rPr>
              <w:fldChar w:fldCharType="begin"/>
            </w:r>
            <w:r>
              <w:rPr>
                <w:noProof/>
              </w:rPr>
              <w:instrText xml:space="preserve"> PAGEREF _Toc224419719 \h </w:instrText>
            </w:r>
            <w:r>
              <w:rPr>
                <w:noProof/>
              </w:rPr>
            </w:r>
            <w:r>
              <w:rPr>
                <w:noProof/>
              </w:rPr>
              <w:fldChar w:fldCharType="separate"/>
            </w:r>
            <w:r>
              <w:rPr>
                <w:noProof/>
              </w:rPr>
              <w:t>32</w:t>
            </w:r>
            <w:r>
              <w:rPr>
                <w:noProof/>
              </w:rPr>
              <w:fldChar w:fldCharType="end"/>
            </w:r>
          </w:hyperlink>
        </w:p>
        <w:p w14:paraId="1298AF5E" w14:textId="77777777" w:rsidR="00710AE3" w:rsidRDefault="00710AE3">
          <w:pPr>
            <w:pStyle w:val="TM2"/>
            <w:tabs>
              <w:tab w:val="right" w:leader="dot" w:pos="9061"/>
            </w:tabs>
            <w:rPr>
              <w:noProof/>
            </w:rPr>
          </w:pPr>
          <w:hyperlink w:anchor="_Toc224419720" w:history="1">
            <w:r>
              <w:rPr>
                <w:rStyle w:val="Lienhypertexte"/>
                <w:noProof/>
              </w:rPr>
              <w:t>Synthèse des trois parties</w:t>
            </w:r>
            <w:r>
              <w:rPr>
                <w:noProof/>
              </w:rPr>
              <w:tab/>
            </w:r>
            <w:r>
              <w:rPr>
                <w:noProof/>
              </w:rPr>
              <w:fldChar w:fldCharType="begin"/>
            </w:r>
            <w:r>
              <w:rPr>
                <w:noProof/>
              </w:rPr>
              <w:instrText xml:space="preserve"> PAGEREF _Toc224419720 \h </w:instrText>
            </w:r>
            <w:r>
              <w:rPr>
                <w:noProof/>
              </w:rPr>
            </w:r>
            <w:r>
              <w:rPr>
                <w:noProof/>
              </w:rPr>
              <w:fldChar w:fldCharType="separate"/>
            </w:r>
            <w:r>
              <w:rPr>
                <w:noProof/>
              </w:rPr>
              <w:t>32</w:t>
            </w:r>
            <w:r>
              <w:rPr>
                <w:noProof/>
              </w:rPr>
              <w:fldChar w:fldCharType="end"/>
            </w:r>
          </w:hyperlink>
        </w:p>
        <w:p w14:paraId="068C5223" w14:textId="77777777" w:rsidR="00710AE3" w:rsidRDefault="00710AE3">
          <w:pPr>
            <w:pStyle w:val="TM2"/>
            <w:tabs>
              <w:tab w:val="right" w:leader="dot" w:pos="9061"/>
            </w:tabs>
            <w:rPr>
              <w:noProof/>
            </w:rPr>
          </w:pPr>
          <w:hyperlink w:anchor="_Toc224419721" w:history="1">
            <w:r>
              <w:rPr>
                <w:rStyle w:val="Lienhypertexte"/>
                <w:noProof/>
              </w:rPr>
              <w:t>Principaux enseignements</w:t>
            </w:r>
            <w:r>
              <w:rPr>
                <w:noProof/>
              </w:rPr>
              <w:tab/>
            </w:r>
            <w:r>
              <w:rPr>
                <w:noProof/>
              </w:rPr>
              <w:fldChar w:fldCharType="begin"/>
            </w:r>
            <w:r>
              <w:rPr>
                <w:noProof/>
              </w:rPr>
              <w:instrText xml:space="preserve"> PAGEREF _Toc224419721 \h </w:instrText>
            </w:r>
            <w:r>
              <w:rPr>
                <w:noProof/>
              </w:rPr>
            </w:r>
            <w:r>
              <w:rPr>
                <w:noProof/>
              </w:rPr>
              <w:fldChar w:fldCharType="separate"/>
            </w:r>
            <w:r>
              <w:rPr>
                <w:noProof/>
              </w:rPr>
              <w:t>32</w:t>
            </w:r>
            <w:r>
              <w:rPr>
                <w:noProof/>
              </w:rPr>
              <w:fldChar w:fldCharType="end"/>
            </w:r>
          </w:hyperlink>
        </w:p>
        <w:p w14:paraId="07497DCF" w14:textId="77777777" w:rsidR="00710AE3" w:rsidRDefault="00710AE3">
          <w:pPr>
            <w:pStyle w:val="TM2"/>
            <w:tabs>
              <w:tab w:val="right" w:leader="dot" w:pos="9061"/>
            </w:tabs>
            <w:rPr>
              <w:noProof/>
            </w:rPr>
          </w:pPr>
          <w:hyperlink w:anchor="_Toc224419723" w:history="1">
            <w:r>
              <w:rPr>
                <w:rStyle w:val="Lienhypertexte"/>
                <w:noProof/>
              </w:rPr>
              <w:t>Limites et perspectives</w:t>
            </w:r>
            <w:r>
              <w:rPr>
                <w:noProof/>
              </w:rPr>
              <w:tab/>
            </w:r>
            <w:r>
              <w:rPr>
                <w:noProof/>
              </w:rPr>
              <w:fldChar w:fldCharType="begin"/>
            </w:r>
            <w:r>
              <w:rPr>
                <w:noProof/>
              </w:rPr>
              <w:instrText xml:space="preserve"> PAGEREF _Toc224419723 \h </w:instrText>
            </w:r>
            <w:r>
              <w:rPr>
                <w:noProof/>
              </w:rPr>
            </w:r>
            <w:r>
              <w:rPr>
                <w:noProof/>
              </w:rPr>
              <w:fldChar w:fldCharType="separate"/>
            </w:r>
            <w:r>
              <w:rPr>
                <w:noProof/>
              </w:rPr>
              <w:t>33</w:t>
            </w:r>
            <w:r>
              <w:rPr>
                <w:noProof/>
              </w:rPr>
              <w:fldChar w:fldCharType="end"/>
            </w:r>
          </w:hyperlink>
        </w:p>
        <w:p w14:paraId="296C2E57" w14:textId="77777777" w:rsidR="00710AE3" w:rsidRDefault="00710AE3">
          <w:pPr>
            <w:pStyle w:val="TM1"/>
            <w:tabs>
              <w:tab w:val="right" w:leader="dot" w:pos="9061"/>
            </w:tabs>
            <w:rPr>
              <w:noProof/>
            </w:rPr>
          </w:pPr>
          <w:hyperlink w:anchor="_Toc224419724" w:history="1">
            <w:r>
              <w:rPr>
                <w:rStyle w:val="Lienhypertexte"/>
                <w:noProof/>
              </w:rPr>
              <w:t>RÉFÉRENCES</w:t>
            </w:r>
            <w:r>
              <w:rPr>
                <w:noProof/>
              </w:rPr>
              <w:tab/>
            </w:r>
            <w:r>
              <w:rPr>
                <w:noProof/>
              </w:rPr>
              <w:fldChar w:fldCharType="begin"/>
            </w:r>
            <w:r>
              <w:rPr>
                <w:noProof/>
              </w:rPr>
              <w:instrText xml:space="preserve"> PAGEREF _Toc224419724 \h </w:instrText>
            </w:r>
            <w:r>
              <w:rPr>
                <w:noProof/>
              </w:rPr>
            </w:r>
            <w:r>
              <w:rPr>
                <w:noProof/>
              </w:rPr>
              <w:fldChar w:fldCharType="separate"/>
            </w:r>
            <w:r>
              <w:rPr>
                <w:noProof/>
              </w:rPr>
              <w:t>34</w:t>
            </w:r>
            <w:r>
              <w:rPr>
                <w:noProof/>
              </w:rPr>
              <w:fldChar w:fldCharType="end"/>
            </w:r>
          </w:hyperlink>
        </w:p>
        <w:p w14:paraId="363A85AA" w14:textId="77777777" w:rsidR="00710AE3" w:rsidRDefault="00710AE3">
          <w:pPr>
            <w:pStyle w:val="TM1"/>
            <w:tabs>
              <w:tab w:val="right" w:leader="dot" w:pos="9061"/>
            </w:tabs>
            <w:rPr>
              <w:noProof/>
            </w:rPr>
          </w:pPr>
          <w:hyperlink w:anchor="_Toc224419725" w:history="1">
            <w:r>
              <w:rPr>
                <w:rStyle w:val="Lienhypertexte"/>
                <w:noProof/>
              </w:rPr>
              <w:t>ANNEXES</w:t>
            </w:r>
            <w:r>
              <w:rPr>
                <w:noProof/>
              </w:rPr>
              <w:tab/>
            </w:r>
            <w:r>
              <w:rPr>
                <w:noProof/>
              </w:rPr>
              <w:fldChar w:fldCharType="begin"/>
            </w:r>
            <w:r>
              <w:rPr>
                <w:noProof/>
              </w:rPr>
              <w:instrText xml:space="preserve"> PAGEREF _Toc224419725 \h </w:instrText>
            </w:r>
            <w:r>
              <w:rPr>
                <w:noProof/>
              </w:rPr>
            </w:r>
            <w:r>
              <w:rPr>
                <w:noProof/>
              </w:rPr>
              <w:fldChar w:fldCharType="separate"/>
            </w:r>
            <w:r>
              <w:rPr>
                <w:noProof/>
              </w:rPr>
              <w:t>35</w:t>
            </w:r>
            <w:r>
              <w:rPr>
                <w:noProof/>
              </w:rPr>
              <w:fldChar w:fldCharType="end"/>
            </w:r>
          </w:hyperlink>
        </w:p>
        <w:p w14:paraId="7E269E39" w14:textId="77777777" w:rsidR="00710AE3" w:rsidRDefault="00710AE3">
          <w:pPr>
            <w:pStyle w:val="TM2"/>
            <w:tabs>
              <w:tab w:val="right" w:leader="dot" w:pos="9061"/>
            </w:tabs>
            <w:rPr>
              <w:noProof/>
            </w:rPr>
          </w:pPr>
          <w:hyperlink w:anchor="_Toc224419726" w:history="1">
            <w:r>
              <w:rPr>
                <w:rStyle w:val="Lienhypertexte"/>
                <w:noProof/>
              </w:rPr>
              <w:t>Annexe A — Les 17 pays du panel effectif</w:t>
            </w:r>
            <w:r>
              <w:rPr>
                <w:noProof/>
              </w:rPr>
              <w:tab/>
            </w:r>
            <w:r>
              <w:rPr>
                <w:noProof/>
              </w:rPr>
              <w:fldChar w:fldCharType="begin"/>
            </w:r>
            <w:r>
              <w:rPr>
                <w:noProof/>
              </w:rPr>
              <w:instrText xml:space="preserve"> PAGEREF _Toc224419726 \h </w:instrText>
            </w:r>
            <w:r>
              <w:rPr>
                <w:noProof/>
              </w:rPr>
            </w:r>
            <w:r>
              <w:rPr>
                <w:noProof/>
              </w:rPr>
              <w:fldChar w:fldCharType="separate"/>
            </w:r>
            <w:r>
              <w:rPr>
                <w:noProof/>
              </w:rPr>
              <w:t>1</w:t>
            </w:r>
            <w:r>
              <w:rPr>
                <w:noProof/>
              </w:rPr>
              <w:fldChar w:fldCharType="end"/>
            </w:r>
          </w:hyperlink>
        </w:p>
        <w:p w14:paraId="2A90FE40" w14:textId="77777777" w:rsidR="0091213F" w:rsidRDefault="00000000">
          <w:r>
            <w:fldChar w:fldCharType="end"/>
          </w:r>
        </w:p>
      </w:sdtContent>
    </w:sdt>
    <w:p w14:paraId="17769560" w14:textId="77777777" w:rsidR="0091213F" w:rsidRDefault="00000000">
      <w:pPr>
        <w:pageBreakBefore/>
      </w:pPr>
      <w:r>
        <w:lastRenderedPageBreak/>
        <w:br/>
      </w:r>
    </w:p>
    <w:p w14:paraId="3B4D3939" w14:textId="77777777" w:rsidR="0091213F" w:rsidRDefault="00000000">
      <w:pPr>
        <w:spacing w:after="220"/>
        <w:jc w:val="center"/>
      </w:pPr>
      <w:r>
        <w:rPr>
          <w:rFonts w:ascii="Arial" w:eastAsia="Arial" w:hAnsi="Arial" w:cs="Arial"/>
          <w:b/>
          <w:bCs/>
          <w:caps/>
          <w:color w:val="1B3A5C"/>
          <w:sz w:val="26"/>
          <w:szCs w:val="26"/>
        </w:rPr>
        <w:t>RÉSUMÉ ANALYTIQUE</w:t>
      </w:r>
    </w:p>
    <w:p w14:paraId="1C992623" w14:textId="77777777" w:rsidR="0091213F" w:rsidRDefault="00000000">
      <w:pPr>
        <w:spacing w:before="120" w:after="120" w:line="290" w:lineRule="auto"/>
        <w:jc w:val="both"/>
      </w:pPr>
      <w:r>
        <w:t>Ce rapport analyse les Investissements Directs Étrangers (IDE) au Maroc dans le contexte africain selon une démarche en trois temps : une mise en perspective théorique, une vérification empirique rigoureuse sur données financières réelles, et une synthèse appliquée au cas du Maroc comme plateforme régionale d'investissement.</w:t>
      </w:r>
    </w:p>
    <w:p w14:paraId="3A58CBCE" w14:textId="77777777" w:rsidR="0091213F" w:rsidRDefault="00000000">
      <w:pPr>
        <w:spacing w:before="120" w:after="120" w:line="290" w:lineRule="auto"/>
        <w:jc w:val="both"/>
      </w:pPr>
      <w:r>
        <w:t>Sur le plan empirique, un modèle économétrique à données de panel couvre 17 économies africaines sur la période 2000–2022 (391 observations). Le test de Hausman (χ²(9) = 20,75 ; p = 0,014) conduit à retenir l'estimateur à effets fixes. Les principaux déterminants identifiés sont le revenu par habitant (β = +1,82 ***), les réserves de change (β = +0,35 ***) et le solde du compte courant (β = −0,16 **). Un second modèle OLS confirme que la croissance du revenu intérieur marocain est le principal moteur de ses IDE sortants vers l'Afrique (β = +0,82 *** ; R² = 0,58).</w:t>
      </w:r>
    </w:p>
    <w:p w14:paraId="7B8F756C" w14:textId="77777777" w:rsidR="0091213F" w:rsidRDefault="00000000">
      <w:pPr>
        <w:spacing w:before="120" w:after="120" w:line="290" w:lineRule="auto"/>
        <w:jc w:val="both"/>
      </w:pPr>
      <w:r>
        <w:t>Le Maroc se singularise par une inflation de 1,7 % contre 14,1 % pour la moyenne africaine, un développement financier de 81 % du PIB soit près de trois fois la moyenne, et des réserves de change à 7,2 mois d'importations. Ces fondamentaux solides légitiment son positionnement stratégique de hub régional d'investissement.</w:t>
      </w:r>
    </w:p>
    <w:p w14:paraId="4998BD66" w14:textId="77777777" w:rsidR="0091213F" w:rsidRDefault="00000000">
      <w:pPr>
        <w:pStyle w:val="Titre1"/>
        <w:pageBreakBefore/>
        <w:spacing w:before="460"/>
      </w:pPr>
      <w:bookmarkStart w:id="0" w:name="_Toc224419676"/>
      <w:r>
        <w:lastRenderedPageBreak/>
        <w:t>INTRODUCTION GÉNÉRALE</w:t>
      </w:r>
      <w:bookmarkEnd w:id="0"/>
    </w:p>
    <w:p w14:paraId="03A6D3FD" w14:textId="77777777" w:rsidR="0091213F" w:rsidRDefault="00000000">
      <w:pPr>
        <w:pStyle w:val="Titre2"/>
        <w:spacing w:before="320"/>
      </w:pPr>
      <w:bookmarkStart w:id="1" w:name="_Toc224419677"/>
      <w:r>
        <w:t>Contexte mondial</w:t>
      </w:r>
      <w:bookmarkEnd w:id="1"/>
    </w:p>
    <w:p w14:paraId="321F53E6" w14:textId="77777777" w:rsidR="0091213F" w:rsidRDefault="00000000">
      <w:pPr>
        <w:spacing w:before="120" w:after="120" w:line="290" w:lineRule="auto"/>
        <w:jc w:val="both"/>
      </w:pPr>
      <w:r>
        <w:t>Dans un contexte de mondialisation financière accélérée, les Investissements Directs Étrangers s'imposent comme l'un des vecteurs les plus structurants du développement économique. À la différence des investissements de portefeuille — par nature volatils et spéculatifs — les IDE engagent l'investisseur dans une relation durable avec l'économie hôte, impliquant des transferts technologiques, des créations d'emplois qualifiés et une intégration dans les chaînes de valeur mondiales.</w:t>
      </w:r>
    </w:p>
    <w:p w14:paraId="76E260DD" w14:textId="77777777" w:rsidR="0091213F" w:rsidRDefault="00000000">
      <w:pPr>
        <w:spacing w:before="120" w:after="120" w:line="290" w:lineRule="auto"/>
        <w:jc w:val="both"/>
      </w:pPr>
      <w:r>
        <w:t>L'Afrique, avec 1,4 milliard d'habitants, une urbanisation accélérée et une classe moyenne en expansion, représente le dernier grand espace d'accumulation de capital de l'économie mondiale. Les flux d'IDE vers le continent ont progressé de manière soutenue sur la période 2000–2022, malgré les chocs conjoncturels de 2008–2009 et 2020. Le Maroc occupe dans ce paysage une position singulière : pays récepteur d'IDE (Europe, Golfe, Asie) et, de plus en plus, pays émetteur à travers l'internationalisation de ses champions nationaux (Attijariwafa Bank, OCP, BMCE Bank of Africa, Maroc Telecom).</w:t>
      </w:r>
    </w:p>
    <w:p w14:paraId="65AAF4F8" w14:textId="77777777" w:rsidR="0091213F" w:rsidRDefault="00000000">
      <w:pPr>
        <w:pStyle w:val="Titre2"/>
        <w:spacing w:before="320"/>
      </w:pPr>
      <w:bookmarkStart w:id="2" w:name="_Toc224419678"/>
      <w:r>
        <w:t>Objectif et démarche</w:t>
      </w:r>
      <w:bookmarkEnd w:id="2"/>
    </w:p>
    <w:p w14:paraId="6A84C381" w14:textId="77777777" w:rsidR="0091213F" w:rsidRDefault="00000000">
      <w:pPr>
        <w:spacing w:before="120" w:after="120" w:line="290" w:lineRule="auto"/>
        <w:jc w:val="both"/>
      </w:pPr>
      <w:r>
        <w:t>L'originalité de ce travail réside dans son refus de se limiter à une revue théorique. Nous avons construit un panel de données financières réelles, issu de bases de données officielles internationales (Banque Mondiale WDI, Indicateurs de Gouvernance WGI, CNUCED), et nous avons soumis les propositions théoriques à la discipline des données. Cette démarche permet de confronter ce que la théorie prédit à ce que les données africaines révèlent réellement — et les écarts sont souvent aussi instructifs que les confirmations.</w:t>
      </w:r>
    </w:p>
    <w:p w14:paraId="024D1DE9" w14:textId="77777777" w:rsidR="0091213F" w:rsidRDefault="00000000">
      <w:pPr>
        <w:pStyle w:val="Titre2"/>
        <w:spacing w:before="320"/>
      </w:pPr>
      <w:bookmarkStart w:id="3" w:name="_Toc224419679"/>
      <w:r>
        <w:t>Problématique</w:t>
      </w:r>
      <w:bookmarkEnd w:id="3"/>
    </w:p>
    <w:p w14:paraId="6381124A" w14:textId="77777777" w:rsidR="0091213F" w:rsidRDefault="00000000">
      <w:pPr>
        <w:pBdr>
          <w:top w:val="single" w:sz="10" w:space="0" w:color="1B3A5C"/>
          <w:left w:val="single" w:sz="28" w:space="0" w:color="1B3A5C"/>
          <w:bottom w:val="single" w:sz="10" w:space="0" w:color="1B3A5C"/>
          <w:right w:val="single" w:sz="8" w:space="0" w:color="1B3A5C"/>
        </w:pBdr>
        <w:shd w:val="clear" w:color="auto" w:fill="EEF4FB"/>
        <w:spacing w:before="180" w:after="180" w:line="290" w:lineRule="auto"/>
        <w:ind w:left="400" w:right="400"/>
        <w:jc w:val="both"/>
      </w:pPr>
      <w:r>
        <w:rPr>
          <w:color w:val="1B3A5C"/>
        </w:rPr>
        <w:t>Quels sont les déterminants macroéconomiques et financiers des IDE au Maroc et en Afrique, et comment les données financières réelles permettent-elles de valider — ou de nuancer — les prédictions théoriques ?</w:t>
      </w:r>
    </w:p>
    <w:p w14:paraId="69A785E3" w14:textId="77777777" w:rsidR="0091213F" w:rsidRDefault="00000000">
      <w:pPr>
        <w:pStyle w:val="Titre2"/>
        <w:spacing w:before="320"/>
      </w:pPr>
      <w:bookmarkStart w:id="4" w:name="_Toc224419680"/>
      <w:r>
        <w:t>Plan du rapport</w:t>
      </w:r>
      <w:bookmarkEnd w:id="4"/>
    </w:p>
    <w:p w14:paraId="5AC8409C" w14:textId="77777777" w:rsidR="0091213F" w:rsidRDefault="00000000">
      <w:pPr>
        <w:spacing w:before="120" w:after="120" w:line="290" w:lineRule="auto"/>
        <w:jc w:val="both"/>
      </w:pPr>
      <w:r>
        <w:t>Le rapport s'articule en trois parties. La Partie I pose les fondements théoriques : définitions des IDE, grandes théories explicatives, et panorama historique des IDE au Maroc. La Partie II dépasse le cadre théorique en mobilisant des données financières réelles pour tester économétriquement les déterminants des IDE sur panel africain. La Partie III réunit théorie et données autour du cas du Maroc en Afrique, en analysant son profil comparatif, son impact macroéconomique et sa stratégie de hub régional.</w:t>
      </w:r>
    </w:p>
    <w:p w14:paraId="4F639722" w14:textId="77777777" w:rsidR="0091213F" w:rsidRDefault="00000000">
      <w:pPr>
        <w:pageBreakBefore/>
        <w:pBdr>
          <w:bottom w:val="single" w:sz="14" w:space="0" w:color="C9A84C"/>
        </w:pBdr>
        <w:spacing w:after="120"/>
      </w:pPr>
      <w:r>
        <w:rPr>
          <w:rFonts w:ascii="Arial" w:eastAsia="Arial" w:hAnsi="Arial" w:cs="Arial"/>
          <w:b/>
          <w:bCs/>
          <w:color w:val="1B3A5C"/>
          <w:sz w:val="38"/>
          <w:szCs w:val="38"/>
        </w:rPr>
        <w:lastRenderedPageBreak/>
        <w:t>PARTIE I</w:t>
      </w:r>
      <w:r>
        <w:rPr>
          <w:rFonts w:ascii="Arial" w:eastAsia="Arial" w:hAnsi="Arial" w:cs="Arial"/>
          <w:b/>
          <w:bCs/>
          <w:color w:val="2E5F8A"/>
          <w:sz w:val="38"/>
          <w:szCs w:val="38"/>
        </w:rPr>
        <w:t xml:space="preserve">  —  Les IDE : fondements théoriques et panorama</w:t>
      </w:r>
    </w:p>
    <w:p w14:paraId="3AA9D3DC" w14:textId="77777777" w:rsidR="0091213F" w:rsidRDefault="00000000">
      <w:pPr>
        <w:spacing w:before="100" w:after="500"/>
      </w:pPr>
      <w:r>
        <w:rPr>
          <w:i/>
          <w:iCs/>
          <w:color w:val="6B7280"/>
        </w:rPr>
        <w:t>Ce que sont les IDE, pourquoi ils existent, et comment le Maroc s'y inscrit</w:t>
      </w:r>
    </w:p>
    <w:p w14:paraId="203176F7" w14:textId="77777777" w:rsidR="0091213F" w:rsidRDefault="00000000">
      <w:pPr>
        <w:pStyle w:val="Titre1"/>
        <w:pageBreakBefore/>
      </w:pPr>
      <w:bookmarkStart w:id="5" w:name="_Toc224419681"/>
      <w:r>
        <w:rPr>
          <w:color w:val="C9A84C"/>
        </w:rPr>
        <w:lastRenderedPageBreak/>
        <w:t xml:space="preserve">1.  </w:t>
      </w:r>
      <w:r>
        <w:t>Définitions, nature et formes des IDE</w:t>
      </w:r>
      <w:bookmarkEnd w:id="5"/>
    </w:p>
    <w:p w14:paraId="24ADA59E" w14:textId="77777777" w:rsidR="0091213F" w:rsidRDefault="00000000">
      <w:pPr>
        <w:pStyle w:val="Titre2"/>
      </w:pPr>
      <w:bookmarkStart w:id="6" w:name="_Toc224419682"/>
      <w:r>
        <w:t>1.1  Définition institutionnelle</w:t>
      </w:r>
      <w:bookmarkEnd w:id="6"/>
    </w:p>
    <w:p w14:paraId="34B7679B" w14:textId="77777777" w:rsidR="0091213F" w:rsidRDefault="00000000">
      <w:pPr>
        <w:spacing w:before="120" w:after="120" w:line="290" w:lineRule="auto"/>
        <w:jc w:val="both"/>
      </w:pPr>
      <w:r>
        <w:t>Les Investissements Directs Étrangers désignent, selon la définition du Manuel de la Balance des Paiements du FMI (6ème édition, 2009), les investissements réalisés par un résident d'une économie dans une entreprise résidente d'une autre économie, dans l'intention d'y établir un intérêt durable et d'exercer une influence significative dans sa gestion. Le seuil opérationnel retenu est une participation d'au moins 10 % du capital ou des droits de vote.</w:t>
      </w:r>
    </w:p>
    <w:p w14:paraId="7B0E6A8A" w14:textId="77777777" w:rsidR="0091213F" w:rsidRDefault="00000000">
      <w:pPr>
        <w:spacing w:before="120" w:after="120" w:line="290" w:lineRule="auto"/>
        <w:jc w:val="both"/>
      </w:pPr>
      <w:r>
        <w:t>Cette définition met en lumière deux éléments distinctifs par rapport aux autres formes d'investissement international : d'une part, le caractère durable de l'engagement — l'investisseur n'a pas vocation à se retirer rapidement — et d'autre part, la dimension managériale — il ne s'agit pas d'un placement passif mais d'une implication dans la conduite de l'entreprise. Ces deux caractéristiques expliquent pourquoi les IDE sont considérés comme plus stables et plus bénéfiques pour les économies hôtes que les investissements de portefeuille.</w:t>
      </w:r>
    </w:p>
    <w:p w14:paraId="731A2A0A" w14:textId="77777777" w:rsidR="0091213F" w:rsidRDefault="00000000">
      <w:pPr>
        <w:pStyle w:val="Titre2"/>
      </w:pPr>
      <w:bookmarkStart w:id="7" w:name="_Toc224419683"/>
      <w:r>
        <w:t>1.2  Typologies des IDE</w:t>
      </w:r>
      <w:bookmarkEnd w:id="7"/>
    </w:p>
    <w:p w14:paraId="4DCBAFDA" w14:textId="77777777" w:rsidR="0091213F" w:rsidRDefault="00000000">
      <w:pPr>
        <w:spacing w:before="120" w:after="120" w:line="290" w:lineRule="auto"/>
        <w:jc w:val="both"/>
      </w:pPr>
      <w:r>
        <w:t>La littérature distingue plusieurs formes d'IDE selon leur nature, leurs motivations et leur impact sur le pays hôte.</w:t>
      </w:r>
    </w:p>
    <w:p w14:paraId="1A261F88" w14:textId="77777777" w:rsidR="0091213F" w:rsidRDefault="00000000">
      <w:pPr>
        <w:pStyle w:val="Titre3"/>
      </w:pPr>
      <w:bookmarkStart w:id="8" w:name="_Toc224419684"/>
      <w:r>
        <w:t>Selon la forme opérationnelle</w:t>
      </w:r>
      <w:bookmarkEnd w:id="8"/>
    </w:p>
    <w:p w14:paraId="43945602" w14:textId="77777777" w:rsidR="0091213F" w:rsidRDefault="00000000">
      <w:pPr>
        <w:pStyle w:val="Paragraphedeliste"/>
        <w:numPr>
          <w:ilvl w:val="0"/>
          <w:numId w:val="2"/>
        </w:numPr>
        <w:spacing w:before="80" w:after="80" w:line="278" w:lineRule="auto"/>
      </w:pPr>
      <w:r>
        <w:t>IDE greenfield : création ex nihilo d'une unité productive. C'est la forme la plus directement génératrice de capital nouveau, d'emplois et de transferts technologiques. Exemple : l'usine Renault de Tanger-Med (6 000 emplois directs, 345 000 véhicules/an).</w:t>
      </w:r>
    </w:p>
    <w:p w14:paraId="2CB46E02" w14:textId="77777777" w:rsidR="0091213F" w:rsidRDefault="00000000">
      <w:pPr>
        <w:pStyle w:val="Paragraphedeliste"/>
        <w:numPr>
          <w:ilvl w:val="0"/>
          <w:numId w:val="2"/>
        </w:numPr>
        <w:spacing w:before="80" w:after="80" w:line="278" w:lineRule="auto"/>
      </w:pPr>
      <w:r>
        <w:t>Fusions-acquisitions (M&amp;A) : rachat d'une entreprise existante. L'impact net sur l'emploi est plus ambigu, mais ces opérations apportent du capital frais et améliorent souvent la gouvernance et la productivité de l'entreprise cible.</w:t>
      </w:r>
    </w:p>
    <w:p w14:paraId="20ED100E" w14:textId="77777777" w:rsidR="0091213F" w:rsidRDefault="00000000">
      <w:pPr>
        <w:pStyle w:val="Paragraphedeliste"/>
        <w:numPr>
          <w:ilvl w:val="0"/>
          <w:numId w:val="2"/>
        </w:numPr>
        <w:spacing w:before="80" w:after="80" w:line="278" w:lineRule="auto"/>
      </w:pPr>
      <w:r>
        <w:t>IDE par extension : augmentation de capacité d'une filiale étrangère déjà présente. Forme la plus fréquente en phase de maturité des investissements.</w:t>
      </w:r>
    </w:p>
    <w:p w14:paraId="418DADF2" w14:textId="77777777" w:rsidR="0091213F" w:rsidRDefault="00000000">
      <w:pPr>
        <w:pStyle w:val="Titre3"/>
      </w:pPr>
      <w:bookmarkStart w:id="9" w:name="_Toc224419685"/>
      <w:r>
        <w:t>Selon la motivation stratégique (Dunning &amp; Lundan, 2008)</w:t>
      </w:r>
      <w:bookmarkEnd w:id="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71"/>
      </w:tblGrid>
      <w:tr w:rsidR="0091213F" w14:paraId="7AB51DBC" w14:textId="77777777">
        <w:trPr>
          <w:tblHeader/>
        </w:trPr>
        <w:tc>
          <w:tcPr>
            <w:tcW w:w="20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7356F3FA" w14:textId="77777777" w:rsidR="0091213F" w:rsidRDefault="00000000">
            <w:pPr>
              <w:jc w:val="center"/>
            </w:pPr>
            <w:r>
              <w:rPr>
                <w:rFonts w:ascii="Arial" w:eastAsia="Arial" w:hAnsi="Arial" w:cs="Arial"/>
                <w:b/>
                <w:bCs/>
                <w:color w:val="FFFFFF"/>
                <w:sz w:val="20"/>
                <w:szCs w:val="20"/>
              </w:rPr>
              <w:t>Type</w:t>
            </w:r>
          </w:p>
        </w:tc>
        <w:tc>
          <w:tcPr>
            <w:tcW w:w="30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69DAC091" w14:textId="77777777" w:rsidR="0091213F" w:rsidRDefault="00000000">
            <w:pPr>
              <w:jc w:val="center"/>
            </w:pPr>
            <w:r>
              <w:rPr>
                <w:rFonts w:ascii="Arial" w:eastAsia="Arial" w:hAnsi="Arial" w:cs="Arial"/>
                <w:b/>
                <w:bCs/>
                <w:color w:val="FFFFFF"/>
                <w:sz w:val="20"/>
                <w:szCs w:val="20"/>
              </w:rPr>
              <w:t>Motivation</w:t>
            </w:r>
          </w:p>
        </w:tc>
        <w:tc>
          <w:tcPr>
            <w:tcW w:w="4071"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081A7988" w14:textId="77777777" w:rsidR="0091213F" w:rsidRDefault="00000000">
            <w:pPr>
              <w:jc w:val="center"/>
            </w:pPr>
            <w:r>
              <w:rPr>
                <w:rFonts w:ascii="Arial" w:eastAsia="Arial" w:hAnsi="Arial" w:cs="Arial"/>
                <w:b/>
                <w:bCs/>
                <w:color w:val="FFFFFF"/>
                <w:sz w:val="20"/>
                <w:szCs w:val="20"/>
              </w:rPr>
              <w:t>Exemple marocain</w:t>
            </w:r>
          </w:p>
        </w:tc>
      </w:tr>
      <w:tr w:rsidR="0091213F" w14:paraId="4D20A8E1" w14:textId="77777777">
        <w:tc>
          <w:tcPr>
            <w:tcW w:w="20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142B281" w14:textId="77777777" w:rsidR="0091213F" w:rsidRDefault="00000000">
            <w:r>
              <w:rPr>
                <w:color w:val="000000"/>
                <w:sz w:val="20"/>
                <w:szCs w:val="20"/>
              </w:rPr>
              <w:t>Market-seeking</w:t>
            </w:r>
          </w:p>
        </w:tc>
        <w:tc>
          <w:tcPr>
            <w:tcW w:w="30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6C6C66B" w14:textId="77777777" w:rsidR="0091213F" w:rsidRDefault="00000000">
            <w:r>
              <w:rPr>
                <w:color w:val="000000"/>
                <w:sz w:val="20"/>
                <w:szCs w:val="20"/>
              </w:rPr>
              <w:t>Accéder au marché local et régional</w:t>
            </w:r>
          </w:p>
        </w:tc>
        <w:tc>
          <w:tcPr>
            <w:tcW w:w="40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2B6E29E" w14:textId="77777777" w:rsidR="0091213F" w:rsidRDefault="00000000">
            <w:r>
              <w:rPr>
                <w:color w:val="000000"/>
                <w:sz w:val="20"/>
                <w:szCs w:val="20"/>
              </w:rPr>
              <w:t>Carrefour, Accor, Decathlon — marché de consommation</w:t>
            </w:r>
          </w:p>
        </w:tc>
      </w:tr>
      <w:tr w:rsidR="0091213F" w14:paraId="5B102C01" w14:textId="77777777">
        <w:tc>
          <w:tcPr>
            <w:tcW w:w="20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8FBA5A3" w14:textId="77777777" w:rsidR="0091213F" w:rsidRDefault="00000000">
            <w:r>
              <w:rPr>
                <w:color w:val="000000"/>
                <w:sz w:val="20"/>
                <w:szCs w:val="20"/>
              </w:rPr>
              <w:t>Efficiency-seeking</w:t>
            </w:r>
          </w:p>
        </w:tc>
        <w:tc>
          <w:tcPr>
            <w:tcW w:w="30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90E5F9D" w14:textId="77777777" w:rsidR="0091213F" w:rsidRDefault="00000000">
            <w:r>
              <w:rPr>
                <w:color w:val="000000"/>
                <w:sz w:val="20"/>
                <w:szCs w:val="20"/>
              </w:rPr>
              <w:t>Réduire les coûts de production</w:t>
            </w:r>
          </w:p>
        </w:tc>
        <w:tc>
          <w:tcPr>
            <w:tcW w:w="40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776FE8C" w14:textId="77777777" w:rsidR="0091213F" w:rsidRDefault="00000000">
            <w:r>
              <w:rPr>
                <w:color w:val="000000"/>
                <w:sz w:val="20"/>
                <w:szCs w:val="20"/>
              </w:rPr>
              <w:t>Stellantis Kénitra — main-d'œuvre et logistique</w:t>
            </w:r>
          </w:p>
        </w:tc>
      </w:tr>
      <w:tr w:rsidR="0091213F" w14:paraId="663A7612" w14:textId="77777777">
        <w:tc>
          <w:tcPr>
            <w:tcW w:w="20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67518D4" w14:textId="77777777" w:rsidR="0091213F" w:rsidRDefault="00000000">
            <w:r>
              <w:rPr>
                <w:color w:val="000000"/>
                <w:sz w:val="20"/>
                <w:szCs w:val="20"/>
              </w:rPr>
              <w:t>Resource-seeking</w:t>
            </w:r>
          </w:p>
        </w:tc>
        <w:tc>
          <w:tcPr>
            <w:tcW w:w="30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5463729" w14:textId="77777777" w:rsidR="0091213F" w:rsidRDefault="00000000">
            <w:r>
              <w:rPr>
                <w:color w:val="000000"/>
                <w:sz w:val="20"/>
                <w:szCs w:val="20"/>
              </w:rPr>
              <w:t>Exploiter des ressources naturelles</w:t>
            </w:r>
          </w:p>
        </w:tc>
        <w:tc>
          <w:tcPr>
            <w:tcW w:w="40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1BEF7F0" w14:textId="77777777" w:rsidR="0091213F" w:rsidRDefault="00000000">
            <w:r>
              <w:rPr>
                <w:color w:val="000000"/>
                <w:sz w:val="20"/>
                <w:szCs w:val="20"/>
              </w:rPr>
              <w:t>OCP — phosphates (investisseur ET opérateur)</w:t>
            </w:r>
          </w:p>
        </w:tc>
      </w:tr>
      <w:tr w:rsidR="0091213F" w14:paraId="3AC0F24C" w14:textId="77777777">
        <w:tc>
          <w:tcPr>
            <w:tcW w:w="20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BD0801B" w14:textId="77777777" w:rsidR="0091213F" w:rsidRDefault="00000000">
            <w:r>
              <w:rPr>
                <w:color w:val="000000"/>
                <w:sz w:val="20"/>
                <w:szCs w:val="20"/>
              </w:rPr>
              <w:t>Strategic asset-seeking</w:t>
            </w:r>
          </w:p>
        </w:tc>
        <w:tc>
          <w:tcPr>
            <w:tcW w:w="30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38CF7768" w14:textId="77777777" w:rsidR="0091213F" w:rsidRDefault="00000000">
            <w:r>
              <w:rPr>
                <w:color w:val="000000"/>
                <w:sz w:val="20"/>
                <w:szCs w:val="20"/>
              </w:rPr>
              <w:t>Acquérir compétences ou technologies</w:t>
            </w:r>
          </w:p>
        </w:tc>
        <w:tc>
          <w:tcPr>
            <w:tcW w:w="40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A24A454" w14:textId="77777777" w:rsidR="0091213F" w:rsidRDefault="00000000">
            <w:r>
              <w:rPr>
                <w:color w:val="000000"/>
                <w:sz w:val="20"/>
                <w:szCs w:val="20"/>
              </w:rPr>
              <w:t>Safran, Boeing — écosystème aéronautique</w:t>
            </w:r>
          </w:p>
        </w:tc>
      </w:tr>
    </w:tbl>
    <w:p w14:paraId="171C27E7" w14:textId="77777777" w:rsidR="0091213F" w:rsidRDefault="00000000">
      <w:pPr>
        <w:spacing w:before="80" w:after="200"/>
        <w:jc w:val="center"/>
      </w:pPr>
      <w:r>
        <w:rPr>
          <w:rFonts w:ascii="Arial" w:eastAsia="Arial" w:hAnsi="Arial" w:cs="Arial"/>
          <w:i/>
          <w:iCs/>
          <w:color w:val="6B7280"/>
          <w:sz w:val="18"/>
          <w:szCs w:val="18"/>
        </w:rPr>
        <w:t>Tableau 1.1 — Taxonomie des motivations d'IDE selon Dunning &amp; Lundan (2008)</w:t>
      </w:r>
    </w:p>
    <w:p w14:paraId="2E3377AD" w14:textId="77777777" w:rsidR="0091213F" w:rsidRDefault="00000000">
      <w:pPr>
        <w:pStyle w:val="Titre2"/>
      </w:pPr>
      <w:bookmarkStart w:id="10" w:name="_Toc224419686"/>
      <w:r>
        <w:lastRenderedPageBreak/>
        <w:t>1.3  IDE entrants vs IDE sortants : le double rôle du Maroc</w:t>
      </w:r>
      <w:bookmarkEnd w:id="10"/>
    </w:p>
    <w:p w14:paraId="0782E884" w14:textId="77777777" w:rsidR="0091213F" w:rsidRDefault="00000000">
      <w:pPr>
        <w:spacing w:before="120" w:after="120" w:line="290" w:lineRule="auto"/>
        <w:jc w:val="both"/>
      </w:pPr>
      <w:r>
        <w:t>La distinction entre IDE entrants (inflows) — reçus par le pays hôte — et IDE sortants (outflows) — émis par des résidents vers l'étranger — est analytiquement fondamentale pour le Maroc, qui occupe les deux positions simultanément.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71"/>
      </w:tblGrid>
      <w:tr w:rsidR="0091213F" w14:paraId="52DBD367" w14:textId="77777777">
        <w:trPr>
          <w:tblHeader/>
        </w:trPr>
        <w:tc>
          <w:tcPr>
            <w:tcW w:w="24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441EBA10" w14:textId="77777777" w:rsidR="0091213F" w:rsidRDefault="0091213F">
            <w:pPr>
              <w:jc w:val="center"/>
            </w:pPr>
          </w:p>
        </w:tc>
        <w:tc>
          <w:tcPr>
            <w:tcW w:w="33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69D4D4CC" w14:textId="77777777" w:rsidR="0091213F" w:rsidRDefault="00000000">
            <w:pPr>
              <w:jc w:val="center"/>
            </w:pPr>
            <w:r>
              <w:rPr>
                <w:rFonts w:ascii="Arial" w:eastAsia="Arial" w:hAnsi="Arial" w:cs="Arial"/>
                <w:b/>
                <w:bCs/>
                <w:color w:val="FFFFFF"/>
                <w:sz w:val="20"/>
                <w:szCs w:val="20"/>
              </w:rPr>
              <w:t>IDE entrants (IFDI)</w:t>
            </w:r>
          </w:p>
        </w:tc>
        <w:tc>
          <w:tcPr>
            <w:tcW w:w="3371"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24F47FE9" w14:textId="77777777" w:rsidR="0091213F" w:rsidRDefault="00000000">
            <w:pPr>
              <w:jc w:val="center"/>
            </w:pPr>
            <w:r>
              <w:rPr>
                <w:rFonts w:ascii="Arial" w:eastAsia="Arial" w:hAnsi="Arial" w:cs="Arial"/>
                <w:b/>
                <w:bCs/>
                <w:color w:val="FFFFFF"/>
                <w:sz w:val="20"/>
                <w:szCs w:val="20"/>
              </w:rPr>
              <w:t>IDE sortants (OFDI)</w:t>
            </w:r>
          </w:p>
        </w:tc>
      </w:tr>
      <w:tr w:rsidR="0091213F" w14:paraId="1D1DB80B" w14:textId="77777777">
        <w:tc>
          <w:tcPr>
            <w:tcW w:w="24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649F461" w14:textId="77777777" w:rsidR="0091213F" w:rsidRDefault="00000000">
            <w:r>
              <w:rPr>
                <w:color w:val="000000"/>
                <w:sz w:val="20"/>
                <w:szCs w:val="20"/>
              </w:rPr>
              <w:t>Code WDI</w:t>
            </w:r>
          </w:p>
        </w:tc>
        <w:tc>
          <w:tcPr>
            <w:tcW w:w="33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E30FE88" w14:textId="77777777" w:rsidR="0091213F" w:rsidRDefault="00000000">
            <w:r>
              <w:rPr>
                <w:color w:val="000000"/>
                <w:sz w:val="20"/>
                <w:szCs w:val="20"/>
              </w:rPr>
              <w:t>BX.KLT.DINV.WD.GD.ZS</w:t>
            </w:r>
          </w:p>
        </w:tc>
        <w:tc>
          <w:tcPr>
            <w:tcW w:w="33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8A1AAAE" w14:textId="77777777" w:rsidR="0091213F" w:rsidRDefault="00000000">
            <w:r>
              <w:rPr>
                <w:color w:val="000000"/>
                <w:sz w:val="20"/>
                <w:szCs w:val="20"/>
              </w:rPr>
              <w:t>BM.KLT.DINV.WD.GD.ZS</w:t>
            </w:r>
          </w:p>
        </w:tc>
      </w:tr>
      <w:tr w:rsidR="0091213F" w:rsidRPr="00701D95" w14:paraId="12836798" w14:textId="77777777">
        <w:tc>
          <w:tcPr>
            <w:tcW w:w="24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82A47E1" w14:textId="77777777" w:rsidR="0091213F" w:rsidRDefault="00000000">
            <w:r>
              <w:rPr>
                <w:color w:val="000000"/>
                <w:sz w:val="20"/>
                <w:szCs w:val="20"/>
              </w:rPr>
              <w:t>Acteurs</w:t>
            </w:r>
          </w:p>
        </w:tc>
        <w:tc>
          <w:tcPr>
            <w:tcW w:w="33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91439F6" w14:textId="77777777" w:rsidR="0091213F" w:rsidRDefault="00000000">
            <w:r>
              <w:rPr>
                <w:color w:val="000000"/>
                <w:sz w:val="20"/>
                <w:szCs w:val="20"/>
              </w:rPr>
              <w:t>Renault, Stellantis, Safran, fonds du Golfe</w:t>
            </w:r>
          </w:p>
        </w:tc>
        <w:tc>
          <w:tcPr>
            <w:tcW w:w="33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8006731" w14:textId="77777777" w:rsidR="0091213F" w:rsidRPr="00710AE3" w:rsidRDefault="00000000">
            <w:pPr>
              <w:rPr>
                <w:lang w:val="en-US"/>
              </w:rPr>
            </w:pPr>
            <w:r>
              <w:rPr>
                <w:color w:val="000000"/>
                <w:sz w:val="20"/>
                <w:szCs w:val="20"/>
                <w:lang w:val="en-US"/>
              </w:rPr>
              <w:t>Attijariwafa Bank, OCP, BMCE, Maroc Telecom</w:t>
            </w:r>
          </w:p>
        </w:tc>
      </w:tr>
      <w:tr w:rsidR="0091213F" w14:paraId="23798B57" w14:textId="77777777">
        <w:tc>
          <w:tcPr>
            <w:tcW w:w="24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629ECD0" w14:textId="77777777" w:rsidR="0091213F" w:rsidRDefault="00000000">
            <w:proofErr w:type="spellStart"/>
            <w:r>
              <w:rPr>
                <w:color w:val="000000"/>
                <w:sz w:val="20"/>
                <w:szCs w:val="20"/>
              </w:rPr>
              <w:t>Moy</w:t>
            </w:r>
            <w:proofErr w:type="spellEnd"/>
            <w:r>
              <w:rPr>
                <w:color w:val="000000"/>
                <w:sz w:val="20"/>
                <w:szCs w:val="20"/>
              </w:rPr>
              <w:t>. Maroc 2000–2022</w:t>
            </w:r>
          </w:p>
        </w:tc>
        <w:tc>
          <w:tcPr>
            <w:tcW w:w="33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16EC30D" w14:textId="77777777" w:rsidR="0091213F" w:rsidRDefault="00000000">
            <w:r>
              <w:rPr>
                <w:color w:val="000000"/>
                <w:sz w:val="20"/>
                <w:szCs w:val="20"/>
              </w:rPr>
              <w:t>2,31 % du PIB</w:t>
            </w:r>
          </w:p>
        </w:tc>
        <w:tc>
          <w:tcPr>
            <w:tcW w:w="33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13D9B3F" w14:textId="77777777" w:rsidR="0091213F" w:rsidRDefault="00000000">
            <w:r>
              <w:rPr>
                <w:color w:val="000000"/>
                <w:sz w:val="20"/>
                <w:szCs w:val="20"/>
              </w:rPr>
              <w:t>Croissance soutenue post-2005</w:t>
            </w:r>
          </w:p>
        </w:tc>
      </w:tr>
      <w:tr w:rsidR="0091213F" w14:paraId="0F131EB5" w14:textId="77777777">
        <w:tc>
          <w:tcPr>
            <w:tcW w:w="24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8E35F14" w14:textId="77777777" w:rsidR="0091213F" w:rsidRDefault="00000000">
            <w:r>
              <w:rPr>
                <w:color w:val="000000"/>
                <w:sz w:val="20"/>
                <w:szCs w:val="20"/>
              </w:rPr>
              <w:t>Impact principal</w:t>
            </w:r>
          </w:p>
        </w:tc>
        <w:tc>
          <w:tcPr>
            <w:tcW w:w="33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5C326E9" w14:textId="77777777" w:rsidR="0091213F" w:rsidRDefault="00000000">
            <w:r>
              <w:rPr>
                <w:color w:val="000000"/>
                <w:sz w:val="20"/>
                <w:szCs w:val="20"/>
              </w:rPr>
              <w:t>Capital, emploi, technologie</w:t>
            </w:r>
          </w:p>
        </w:tc>
        <w:tc>
          <w:tcPr>
            <w:tcW w:w="33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AB8654C" w14:textId="77777777" w:rsidR="0091213F" w:rsidRDefault="00000000">
            <w:r>
              <w:rPr>
                <w:color w:val="000000"/>
                <w:sz w:val="20"/>
                <w:szCs w:val="20"/>
              </w:rPr>
              <w:t>Influence régionale, revenus rapatriés</w:t>
            </w:r>
          </w:p>
        </w:tc>
      </w:tr>
      <w:tr w:rsidR="0091213F" w14:paraId="0C89192A" w14:textId="77777777">
        <w:tc>
          <w:tcPr>
            <w:tcW w:w="24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B8DB03C" w14:textId="77777777" w:rsidR="0091213F" w:rsidRDefault="00000000">
            <w:r>
              <w:rPr>
                <w:color w:val="000000"/>
                <w:sz w:val="20"/>
                <w:szCs w:val="20"/>
              </w:rPr>
              <w:t>Flux dominant</w:t>
            </w:r>
          </w:p>
        </w:tc>
        <w:tc>
          <w:tcPr>
            <w:tcW w:w="33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5AEEDA0" w14:textId="77777777" w:rsidR="0091213F" w:rsidRDefault="00000000">
            <w:r>
              <w:rPr>
                <w:color w:val="000000"/>
                <w:sz w:val="20"/>
                <w:szCs w:val="20"/>
              </w:rPr>
              <w:t>UE (France, Espagne), EAU</w:t>
            </w:r>
          </w:p>
        </w:tc>
        <w:tc>
          <w:tcPr>
            <w:tcW w:w="33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2DEE879" w14:textId="77777777" w:rsidR="0091213F" w:rsidRDefault="00000000">
            <w:r>
              <w:rPr>
                <w:color w:val="000000"/>
                <w:sz w:val="20"/>
                <w:szCs w:val="20"/>
              </w:rPr>
              <w:t>Afrique subsaharienne francophone</w:t>
            </w:r>
          </w:p>
        </w:tc>
      </w:tr>
    </w:tbl>
    <w:p w14:paraId="0297245F" w14:textId="77777777" w:rsidR="0091213F" w:rsidRDefault="00000000">
      <w:pPr>
        <w:spacing w:before="80" w:after="200"/>
        <w:jc w:val="center"/>
      </w:pPr>
      <w:r>
        <w:rPr>
          <w:rFonts w:ascii="Arial" w:eastAsia="Arial" w:hAnsi="Arial" w:cs="Arial"/>
          <w:i/>
          <w:iCs/>
          <w:color w:val="6B7280"/>
          <w:sz w:val="18"/>
          <w:szCs w:val="18"/>
        </w:rPr>
        <w:t>Tableau 1.2 — Double rôle du Maroc dans les flux d'IDE</w:t>
      </w:r>
    </w:p>
    <w:p w14:paraId="7B5B0841" w14:textId="77777777" w:rsidR="0091213F" w:rsidRDefault="00000000">
      <w:pPr>
        <w:pStyle w:val="Titre1"/>
        <w:pageBreakBefore/>
      </w:pPr>
      <w:bookmarkStart w:id="11" w:name="_Toc224419687"/>
      <w:r>
        <w:rPr>
          <w:color w:val="C9A84C"/>
        </w:rPr>
        <w:lastRenderedPageBreak/>
        <w:t xml:space="preserve">2.  </w:t>
      </w:r>
      <w:r>
        <w:t>Théories explicatives des IDE</w:t>
      </w:r>
      <w:bookmarkEnd w:id="11"/>
    </w:p>
    <w:p w14:paraId="6E58AB36" w14:textId="77777777" w:rsidR="0091213F" w:rsidRDefault="00000000">
      <w:pPr>
        <w:pStyle w:val="Titre2"/>
      </w:pPr>
      <w:bookmarkStart w:id="12" w:name="_Toc224419688"/>
      <w:r>
        <w:t>2.1  Le paradigme OLI de Dunning (1981)</w:t>
      </w:r>
      <w:bookmarkEnd w:id="12"/>
    </w:p>
    <w:p w14:paraId="5AAD224A" w14:textId="77777777" w:rsidR="0091213F" w:rsidRDefault="00000000">
      <w:pPr>
        <w:spacing w:before="120" w:after="120" w:line="290" w:lineRule="auto"/>
        <w:jc w:val="both"/>
      </w:pPr>
      <w:r>
        <w:t>Le Paradigme Éclectique OLI proposé par John Dunning reste le cadre théorique de référence pour l'analyse des IDE. Il postule que la décision d'investissement direct à l'étranger résulte de la conjonction de trois ensembles d'avantages :</w:t>
      </w:r>
    </w:p>
    <w:p w14:paraId="3F094B79" w14:textId="77777777" w:rsidR="0091213F" w:rsidRDefault="00000000">
      <w:pPr>
        <w:pStyle w:val="Paragraphedeliste"/>
        <w:numPr>
          <w:ilvl w:val="0"/>
          <w:numId w:val="2"/>
        </w:numPr>
        <w:spacing w:before="80" w:after="80" w:line="278" w:lineRule="auto"/>
      </w:pPr>
      <w:r>
        <w:t>Avantages de Propriété (O — Ownership) : actifs intangibles propres à la firme qui lui confèrent un avantage sur les firmes locales du pays cible — brevets, marques, savoir-faire managérial, économies d'échelle. Attijariwafa Bank, par exemple, dispose d'une expertise en finance islamique et en bancarisation de masse que peu d'institutions africaines égalent.</w:t>
      </w:r>
    </w:p>
    <w:p w14:paraId="62A12B95" w14:textId="77777777" w:rsidR="0091213F" w:rsidRDefault="00000000">
      <w:pPr>
        <w:pStyle w:val="Paragraphedeliste"/>
        <w:numPr>
          <w:ilvl w:val="0"/>
          <w:numId w:val="2"/>
        </w:numPr>
        <w:spacing w:before="80" w:after="80" w:line="278" w:lineRule="auto"/>
      </w:pPr>
      <w:r>
        <w:t>Avantages de Localisation (L — Location) : conditions offertes par le pays hôte rendant profitable l'investissement — taille du marché, main-d'œuvre qualifiée, infrastructures, stabilité macroéconomique, ressources naturelles. C'est précisément ce que notre variable PIB/hab cherche à capter dans le modèle empirique.</w:t>
      </w:r>
    </w:p>
    <w:p w14:paraId="5C11F008" w14:textId="77777777" w:rsidR="0091213F" w:rsidRDefault="00000000">
      <w:pPr>
        <w:pStyle w:val="Paragraphedeliste"/>
        <w:numPr>
          <w:ilvl w:val="0"/>
          <w:numId w:val="2"/>
        </w:numPr>
        <w:spacing w:before="80" w:after="80" w:line="278" w:lineRule="auto"/>
      </w:pPr>
      <w:r>
        <w:t>Avantages d'Internalisation (I — Internalization) : conditions dans lesquelles il est préférable pour la firme de contrôler ses opérations en direct plutôt que de céder ses avantages par licence — notamment pour protéger ses actifs incorporels des risques de divulgation ou de mauvaise exploitation.</w:t>
      </w:r>
    </w:p>
    <w:p w14:paraId="37325B3E" w14:textId="77777777" w:rsidR="0091213F" w:rsidRDefault="00000000">
      <w:pPr>
        <w:pBdr>
          <w:left w:val="single" w:sz="24" w:space="0" w:color="C9A84C"/>
        </w:pBdr>
        <w:shd w:val="clear" w:color="auto" w:fill="FDF8EE"/>
        <w:spacing w:before="220" w:after="220" w:line="290" w:lineRule="auto"/>
        <w:ind w:left="480" w:right="480"/>
        <w:jc w:val="both"/>
      </w:pPr>
      <w:r>
        <w:rPr>
          <w:i/>
          <w:iCs/>
          <w:color w:val="0D1B2A"/>
        </w:rPr>
        <w:t>Le paradigme OLI est plus qu'un cadre descriptif — il est prédictif : il permet d'anticiper quels secteurs et quels pays seront ciblés par les IDE en fonction de leurs dotations comparatives.</w:t>
      </w:r>
    </w:p>
    <w:p w14:paraId="21E3286D" w14:textId="77777777" w:rsidR="0091213F" w:rsidRDefault="00000000">
      <w:pPr>
        <w:pStyle w:val="Titre2"/>
      </w:pPr>
      <w:bookmarkStart w:id="13" w:name="_Toc224419689"/>
      <w:r>
        <w:t>2.2  Le modèle d'Uppsala : l'internationalisation progressive</w:t>
      </w:r>
      <w:bookmarkEnd w:id="13"/>
    </w:p>
    <w:p w14:paraId="22929B57" w14:textId="77777777" w:rsidR="0091213F" w:rsidRDefault="00000000">
      <w:pPr>
        <w:spacing w:before="120" w:after="120" w:line="290" w:lineRule="auto"/>
        <w:jc w:val="both"/>
      </w:pPr>
      <w:r>
        <w:t>Développée par Johanson &amp; Vahlne (1977), la théorie d'Uppsala conceptualise l'internationalisation comme un processus incrémental guidé par l'accumulation progressive de connaissances sur les marchés étrangers. Les firmes commencent par des marchés psychiquement proches (langue, culture, système juridique comparables) avant de s'aventurer vers des marchés plus distants.</w:t>
      </w:r>
    </w:p>
    <w:p w14:paraId="6D5E25DB" w14:textId="77777777" w:rsidR="0091213F" w:rsidRDefault="00000000">
      <w:pPr>
        <w:spacing w:before="120" w:after="120" w:line="290" w:lineRule="auto"/>
        <w:jc w:val="both"/>
      </w:pPr>
      <w:r>
        <w:t>Ce modèle est particulièrement opérant pour expliquer la trajectoire des champions nationaux marocains. Attijariwafa Bank et BMCE ont d'abord consolidé leur position au Maroc, avant de s'étendre vers la Tunisie et l'Égypte, puis vers l'Afrique de l'Ouest francophone (Sénégal, Côte d'Ivoire, Mali), et enfin vers l'ensemble de l'Afrique subsaharienne. L'OCP suit une logique similaire : ancrage national fort, puis expansion africaine via des accords de fourniture d'engrais, avant l'établissement de filiales de production.</w:t>
      </w:r>
    </w:p>
    <w:p w14:paraId="4FDF26D0" w14:textId="77777777" w:rsidR="0091213F" w:rsidRDefault="00000000">
      <w:pPr>
        <w:pStyle w:val="Titre2"/>
      </w:pPr>
      <w:bookmarkStart w:id="14" w:name="_Toc224419690"/>
      <w:r>
        <w:t>2.3  IDE et Balance des Paiements</w:t>
      </w:r>
      <w:bookmarkEnd w:id="14"/>
    </w:p>
    <w:p w14:paraId="3EE0D4E7" w14:textId="77777777" w:rsidR="0091213F" w:rsidRDefault="00000000">
      <w:pPr>
        <w:spacing w:before="120" w:after="120" w:line="290" w:lineRule="auto"/>
        <w:jc w:val="both"/>
      </w:pPr>
      <w:r>
        <w:t>En Finance Internationale, les IDE s'inscrivent comptablement dans le compte financier de la Balance des Paiements. L'identité fondamentale de la BDP implique une relation systématique entre le déficit courant et les besoins de financement externe :</w:t>
      </w:r>
    </w:p>
    <w:p w14:paraId="52546581" w14:textId="77777777" w:rsidR="0091213F" w:rsidRDefault="00000000">
      <w:pPr>
        <w:pBdr>
          <w:left w:val="single" w:sz="20" w:space="0" w:color="C9A84C"/>
        </w:pBdr>
        <w:shd w:val="clear" w:color="auto" w:fill="FDF8EE"/>
        <w:spacing w:before="200" w:after="200"/>
        <w:ind w:left="360"/>
        <w:jc w:val="center"/>
      </w:pPr>
      <w:r>
        <w:rPr>
          <w:rFonts w:ascii="Courier New" w:eastAsia="Courier New" w:hAnsi="Courier New" w:cs="Courier New"/>
          <w:b/>
          <w:bCs/>
          <w:color w:val="1B3A5C"/>
          <w:sz w:val="21"/>
          <w:szCs w:val="21"/>
        </w:rPr>
        <w:lastRenderedPageBreak/>
        <w:t>Compte courant (CA)  +  Compte financier (FA)  ≡  0  ⟹  Déficit CA  →  Excédent FA  →  Besoins accrus d'IDE entrants</w:t>
      </w:r>
    </w:p>
    <w:p w14:paraId="0AC6D990" w14:textId="77777777" w:rsidR="0091213F" w:rsidRDefault="00000000">
      <w:pPr>
        <w:spacing w:before="120" w:after="120" w:line="290" w:lineRule="auto"/>
        <w:jc w:val="both"/>
      </w:pPr>
      <w:r>
        <w:t>Cette mécanique comptable n'est pas anodine : elle signifie que les pays structurellement déficitaires sur leur compte courant sont mécaniquement poussés à mettre en place des politiques d'attractivité des IDE pour couvrir leur gap de financement. Nous vérifierons empiriquement cette relation dans la Partie II : le coefficient négatif attendu sur le solde courant (β = −0,16 **) en est la traduction économétrique directe.</w:t>
      </w:r>
    </w:p>
    <w:p w14:paraId="099518AC" w14:textId="77777777" w:rsidR="0091213F" w:rsidRDefault="00000000">
      <w:pPr>
        <w:pStyle w:val="Titre1"/>
        <w:pageBreakBefore/>
      </w:pPr>
      <w:bookmarkStart w:id="15" w:name="_Toc224419691"/>
      <w:r>
        <w:rPr>
          <w:color w:val="C9A84C"/>
        </w:rPr>
        <w:lastRenderedPageBreak/>
        <w:t xml:space="preserve">3.  </w:t>
      </w:r>
      <w:r>
        <w:t>Les IDE au Maroc : évolution et politique d'attractivité</w:t>
      </w:r>
      <w:bookmarkEnd w:id="15"/>
    </w:p>
    <w:p w14:paraId="37E02A2B" w14:textId="77777777" w:rsidR="0091213F" w:rsidRDefault="00000000">
      <w:pPr>
        <w:pStyle w:val="Titre2"/>
      </w:pPr>
      <w:bookmarkStart w:id="16" w:name="_Toc224419692"/>
      <w:r>
        <w:t>3.1  Évolution historique des flux d'IDE</w:t>
      </w:r>
      <w:bookmarkEnd w:id="16"/>
    </w:p>
    <w:p w14:paraId="2DBE897E" w14:textId="77777777" w:rsidR="0091213F" w:rsidRDefault="00000000">
      <w:pPr>
        <w:spacing w:before="200" w:after="80"/>
        <w:jc w:val="center"/>
      </w:pPr>
      <w:r>
        <w:rPr>
          <w:noProof/>
        </w:rPr>
        <w:drawing>
          <wp:inline distT="0" distB="0" distL="0" distR="0" wp14:anchorId="5EF0FA3F" wp14:editId="5DBD3AFF">
            <wp:extent cx="5429250" cy="2133600"/>
            <wp:effectExtent l="0" t="0" r="0" b="0"/>
            <wp:docPr id="52643875" name="Image 52643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2133600"/>
                    </a:xfrm>
                    <a:prstGeom prst="rect">
                      <a:avLst/>
                    </a:prstGeom>
                  </pic:spPr>
                </pic:pic>
              </a:graphicData>
            </a:graphic>
          </wp:inline>
        </w:drawing>
      </w:r>
    </w:p>
    <w:p w14:paraId="01AD6066" w14:textId="77777777" w:rsidR="0091213F" w:rsidRDefault="00000000">
      <w:pPr>
        <w:spacing w:before="80" w:after="200"/>
        <w:jc w:val="center"/>
      </w:pPr>
      <w:r>
        <w:rPr>
          <w:rFonts w:ascii="Arial" w:eastAsia="Arial" w:hAnsi="Arial" w:cs="Arial"/>
          <w:i/>
          <w:iCs/>
          <w:color w:val="6B7280"/>
          <w:sz w:val="18"/>
          <w:szCs w:val="18"/>
        </w:rPr>
        <w:t>Figure 1 — Évolution des IDE entrants : Maroc vs Moyenne du panel africain (2000–2022) Source : WDI Banque Mondiale / CNUCED — Données réelles — Calculs des auteurs</w:t>
      </w:r>
    </w:p>
    <w:p w14:paraId="7357D050" w14:textId="77777777" w:rsidR="0091213F" w:rsidRDefault="00000000">
      <w:pPr>
        <w:spacing w:before="120" w:after="120" w:line="290" w:lineRule="auto"/>
        <w:jc w:val="both"/>
      </w:pPr>
      <w:r>
        <w:t>Le graphique ci-dessus illustre les grandes phases de l'attractivité du Maroc aux IDE sur la période d'étude. Le pic de 2001 (6,44 % du PIB) s'explique par les privatisations de première génération : la cession de 35 % de Maroc Telecom à Vivendi pour 2,3 milliards USD, et plusieurs opérations dans le secteur bancaire, ont temporairement gonflé les flux entrants. Cette phase exceptionnelle est suivie d'une normalisation progressive, avant une nouvelle montée en puissance des IDE industriels (automobile, aéronautique) à partir de 2008–2010.</w:t>
      </w:r>
    </w:p>
    <w:p w14:paraId="0ADF942A" w14:textId="77777777" w:rsidR="0091213F" w:rsidRDefault="00000000">
      <w:pPr>
        <w:spacing w:before="120" w:after="120" w:line="290" w:lineRule="auto"/>
        <w:jc w:val="both"/>
      </w:pPr>
      <w:r>
        <w:t>La crise financière mondiale de 2008–2009 et la pandémie COVID-19 de 2020 ont provoqué des contractions temporaires, mais le Maroc a systématiquement maintenu des flux supérieurs à la médiane africaine en dehors des chocs conjoncturels, ce qui témoigne de la solidité structurelle de son attractivité.</w:t>
      </w:r>
    </w:p>
    <w:p w14:paraId="3E43C67B" w14:textId="77777777" w:rsidR="0091213F" w:rsidRDefault="00000000">
      <w:pPr>
        <w:pStyle w:val="Titre2"/>
      </w:pPr>
      <w:bookmarkStart w:id="17" w:name="_Toc224419693"/>
      <w:r>
        <w:t>3.2  Structure sectorielle et politique d'attractivité</w:t>
      </w:r>
      <w:bookmarkEnd w:id="17"/>
    </w:p>
    <w:p w14:paraId="49223181" w14:textId="77777777" w:rsidR="0091213F" w:rsidRDefault="00000000">
      <w:pPr>
        <w:spacing w:before="120" w:after="120" w:line="290" w:lineRule="auto"/>
        <w:jc w:val="both"/>
      </w:pPr>
      <w:r>
        <w:t>La politique marocaine d'attractivité des IDE repose sur un dispositif institutionnel cohérent articulé autour de l'AMDIE (Agence Marocaine de Développement des Investissements et des Exportations), des Zones d'Accélération Industrielle (ZAI) spécialisées — Tanger, Casablanca-Nouaceur, Kénitra, Oujda — et d'un réseau d'accords de libre-échange avec l'Union Européenne, les États-Unis, et plusieurs pays arabes. Ces ZAI offrent des avantages fiscaux significatifs (exonération IS 5 ans, taux réduit 15 % ensuite) et des infrastructures logistiques modernes.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600"/>
        <w:gridCol w:w="2700"/>
        <w:gridCol w:w="2671"/>
      </w:tblGrid>
      <w:tr w:rsidR="0091213F" w14:paraId="54663433" w14:textId="77777777">
        <w:trPr>
          <w:tblHeader/>
        </w:trPr>
        <w:tc>
          <w:tcPr>
            <w:tcW w:w="21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3FD1ED04" w14:textId="77777777" w:rsidR="0091213F" w:rsidRDefault="00000000">
            <w:pPr>
              <w:jc w:val="center"/>
            </w:pPr>
            <w:r>
              <w:rPr>
                <w:rFonts w:ascii="Arial" w:eastAsia="Arial" w:hAnsi="Arial" w:cs="Arial"/>
                <w:b/>
                <w:bCs/>
                <w:color w:val="FFFFFF"/>
                <w:sz w:val="20"/>
                <w:szCs w:val="20"/>
              </w:rPr>
              <w:t>Secteur</w:t>
            </w:r>
          </w:p>
        </w:tc>
        <w:tc>
          <w:tcPr>
            <w:tcW w:w="16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737E9368" w14:textId="77777777" w:rsidR="0091213F" w:rsidRDefault="00000000">
            <w:pPr>
              <w:jc w:val="center"/>
            </w:pPr>
            <w:r>
              <w:rPr>
                <w:rFonts w:ascii="Arial" w:eastAsia="Arial" w:hAnsi="Arial" w:cs="Arial"/>
                <w:b/>
                <w:bCs/>
                <w:color w:val="FFFFFF"/>
                <w:sz w:val="20"/>
                <w:szCs w:val="20"/>
              </w:rPr>
              <w:t>Part des IDE (moy.)</w:t>
            </w:r>
          </w:p>
        </w:tc>
        <w:tc>
          <w:tcPr>
            <w:tcW w:w="27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59E9FEA1" w14:textId="77777777" w:rsidR="0091213F" w:rsidRDefault="00000000">
            <w:pPr>
              <w:jc w:val="center"/>
            </w:pPr>
            <w:r>
              <w:rPr>
                <w:rFonts w:ascii="Arial" w:eastAsia="Arial" w:hAnsi="Arial" w:cs="Arial"/>
                <w:b/>
                <w:bCs/>
                <w:color w:val="FFFFFF"/>
                <w:sz w:val="20"/>
                <w:szCs w:val="20"/>
              </w:rPr>
              <w:t>Exemples d'investisseurs</w:t>
            </w:r>
          </w:p>
        </w:tc>
        <w:tc>
          <w:tcPr>
            <w:tcW w:w="2671"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00DA5E74" w14:textId="77777777" w:rsidR="0091213F" w:rsidRDefault="00000000">
            <w:pPr>
              <w:jc w:val="center"/>
            </w:pPr>
            <w:r>
              <w:rPr>
                <w:rFonts w:ascii="Arial" w:eastAsia="Arial" w:hAnsi="Arial" w:cs="Arial"/>
                <w:b/>
                <w:bCs/>
                <w:color w:val="FFFFFF"/>
                <w:sz w:val="20"/>
                <w:szCs w:val="20"/>
              </w:rPr>
              <w:t>Impact</w:t>
            </w:r>
          </w:p>
        </w:tc>
      </w:tr>
      <w:tr w:rsidR="0091213F" w14:paraId="1E868754" w14:textId="77777777">
        <w:tc>
          <w:tcPr>
            <w:tcW w:w="2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FED5ADF" w14:textId="77777777" w:rsidR="0091213F" w:rsidRDefault="00000000">
            <w:r>
              <w:rPr>
                <w:color w:val="000000"/>
                <w:sz w:val="20"/>
                <w:szCs w:val="20"/>
              </w:rPr>
              <w:t>Industrie automobile</w:t>
            </w:r>
          </w:p>
        </w:tc>
        <w:tc>
          <w:tcPr>
            <w:tcW w:w="16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FC41A37" w14:textId="77777777" w:rsidR="0091213F" w:rsidRDefault="00000000">
            <w:r>
              <w:rPr>
                <w:color w:val="000000"/>
                <w:sz w:val="20"/>
                <w:szCs w:val="20"/>
              </w:rPr>
              <w:t>~30 %</w:t>
            </w:r>
          </w:p>
        </w:tc>
        <w:tc>
          <w:tcPr>
            <w:tcW w:w="2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12E9DE7" w14:textId="77777777" w:rsidR="0091213F" w:rsidRDefault="00000000">
            <w:r>
              <w:rPr>
                <w:color w:val="000000"/>
                <w:sz w:val="20"/>
                <w:szCs w:val="20"/>
              </w:rPr>
              <w:t>Renault, Stellantis, Lear, Yazaki</w:t>
            </w:r>
          </w:p>
        </w:tc>
        <w:tc>
          <w:tcPr>
            <w:tcW w:w="26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46C6C61" w14:textId="77777777" w:rsidR="0091213F" w:rsidRDefault="00000000">
            <w:r>
              <w:rPr>
                <w:color w:val="000000"/>
                <w:sz w:val="20"/>
                <w:szCs w:val="20"/>
              </w:rPr>
              <w:t>Intégration chaîne valeur mondiale</w:t>
            </w:r>
          </w:p>
        </w:tc>
      </w:tr>
      <w:tr w:rsidR="0091213F" w14:paraId="09C7112F" w14:textId="77777777">
        <w:tc>
          <w:tcPr>
            <w:tcW w:w="2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A025CEF" w14:textId="77777777" w:rsidR="0091213F" w:rsidRDefault="00000000">
            <w:r>
              <w:rPr>
                <w:color w:val="000000"/>
                <w:sz w:val="20"/>
                <w:szCs w:val="20"/>
              </w:rPr>
              <w:lastRenderedPageBreak/>
              <w:t>Tourisme &amp; immobilier</w:t>
            </w:r>
          </w:p>
        </w:tc>
        <w:tc>
          <w:tcPr>
            <w:tcW w:w="16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37B4183D" w14:textId="77777777" w:rsidR="0091213F" w:rsidRDefault="00000000">
            <w:r>
              <w:rPr>
                <w:color w:val="000000"/>
                <w:sz w:val="20"/>
                <w:szCs w:val="20"/>
              </w:rPr>
              <w:t>~20 %</w:t>
            </w:r>
          </w:p>
        </w:tc>
        <w:tc>
          <w:tcPr>
            <w:tcW w:w="2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312A6B8" w14:textId="77777777" w:rsidR="0091213F" w:rsidRDefault="00000000">
            <w:r>
              <w:rPr>
                <w:color w:val="000000"/>
                <w:sz w:val="20"/>
                <w:szCs w:val="20"/>
              </w:rPr>
              <w:t>Club Med, Accor, Marriott</w:t>
            </w:r>
          </w:p>
        </w:tc>
        <w:tc>
          <w:tcPr>
            <w:tcW w:w="26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D928A0E" w14:textId="77777777" w:rsidR="0091213F" w:rsidRDefault="00000000">
            <w:r>
              <w:rPr>
                <w:color w:val="000000"/>
                <w:sz w:val="20"/>
                <w:szCs w:val="20"/>
              </w:rPr>
              <w:t>Emplois, recettes devises</w:t>
            </w:r>
          </w:p>
        </w:tc>
      </w:tr>
      <w:tr w:rsidR="0091213F" w14:paraId="60254F17" w14:textId="77777777">
        <w:tc>
          <w:tcPr>
            <w:tcW w:w="2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4EAE03D" w14:textId="77777777" w:rsidR="0091213F" w:rsidRDefault="00000000">
            <w:r>
              <w:rPr>
                <w:color w:val="000000"/>
                <w:sz w:val="20"/>
                <w:szCs w:val="20"/>
              </w:rPr>
              <w:t>Télécoms &amp; services</w:t>
            </w:r>
          </w:p>
        </w:tc>
        <w:tc>
          <w:tcPr>
            <w:tcW w:w="16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1A9456D" w14:textId="77777777" w:rsidR="0091213F" w:rsidRDefault="00000000">
            <w:r>
              <w:rPr>
                <w:color w:val="000000"/>
                <w:sz w:val="20"/>
                <w:szCs w:val="20"/>
              </w:rPr>
              <w:t>~15 %</w:t>
            </w:r>
          </w:p>
        </w:tc>
        <w:tc>
          <w:tcPr>
            <w:tcW w:w="2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5D92217" w14:textId="77777777" w:rsidR="0091213F" w:rsidRDefault="00000000">
            <w:r>
              <w:rPr>
                <w:color w:val="000000"/>
                <w:sz w:val="20"/>
                <w:szCs w:val="20"/>
              </w:rPr>
              <w:t>Orange, Vivendi (historique)</w:t>
            </w:r>
          </w:p>
        </w:tc>
        <w:tc>
          <w:tcPr>
            <w:tcW w:w="26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5FDAEBD" w14:textId="77777777" w:rsidR="0091213F" w:rsidRDefault="00000000">
            <w:r>
              <w:rPr>
                <w:color w:val="000000"/>
                <w:sz w:val="20"/>
                <w:szCs w:val="20"/>
              </w:rPr>
              <w:t>Transfert technologique</w:t>
            </w:r>
          </w:p>
        </w:tc>
      </w:tr>
      <w:tr w:rsidR="0091213F" w14:paraId="07D874BE" w14:textId="77777777">
        <w:tc>
          <w:tcPr>
            <w:tcW w:w="2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2581BAC" w14:textId="77777777" w:rsidR="0091213F" w:rsidRDefault="00000000">
            <w:r>
              <w:rPr>
                <w:color w:val="000000"/>
                <w:sz w:val="20"/>
                <w:szCs w:val="20"/>
              </w:rPr>
              <w:t>Aéronautique</w:t>
            </w:r>
          </w:p>
        </w:tc>
        <w:tc>
          <w:tcPr>
            <w:tcW w:w="16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92A41B1" w14:textId="77777777" w:rsidR="0091213F" w:rsidRDefault="00000000">
            <w:r>
              <w:rPr>
                <w:color w:val="000000"/>
                <w:sz w:val="20"/>
                <w:szCs w:val="20"/>
              </w:rPr>
              <w:t>~10 %</w:t>
            </w:r>
          </w:p>
        </w:tc>
        <w:tc>
          <w:tcPr>
            <w:tcW w:w="2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5270395" w14:textId="77777777" w:rsidR="0091213F" w:rsidRDefault="00000000">
            <w:r>
              <w:rPr>
                <w:color w:val="000000"/>
                <w:sz w:val="20"/>
                <w:szCs w:val="20"/>
              </w:rPr>
              <w:t>Safran, Boeing, Bombardier</w:t>
            </w:r>
          </w:p>
        </w:tc>
        <w:tc>
          <w:tcPr>
            <w:tcW w:w="26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4C154A2" w14:textId="77777777" w:rsidR="0091213F" w:rsidRDefault="00000000">
            <w:r>
              <w:rPr>
                <w:color w:val="000000"/>
                <w:sz w:val="20"/>
                <w:szCs w:val="20"/>
              </w:rPr>
              <w:t>Emplois hautement qualifiés</w:t>
            </w:r>
          </w:p>
        </w:tc>
      </w:tr>
      <w:tr w:rsidR="0091213F" w14:paraId="1B8524C0" w14:textId="77777777">
        <w:tc>
          <w:tcPr>
            <w:tcW w:w="2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6033EBE" w14:textId="77777777" w:rsidR="0091213F" w:rsidRDefault="00000000">
            <w:r>
              <w:rPr>
                <w:color w:val="000000"/>
                <w:sz w:val="20"/>
                <w:szCs w:val="20"/>
              </w:rPr>
              <w:t>Énergie &amp; EnR</w:t>
            </w:r>
          </w:p>
        </w:tc>
        <w:tc>
          <w:tcPr>
            <w:tcW w:w="16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58ACED3" w14:textId="77777777" w:rsidR="0091213F" w:rsidRDefault="00000000">
            <w:r>
              <w:rPr>
                <w:color w:val="000000"/>
                <w:sz w:val="20"/>
                <w:szCs w:val="20"/>
              </w:rPr>
              <w:t>~10 %</w:t>
            </w:r>
          </w:p>
        </w:tc>
        <w:tc>
          <w:tcPr>
            <w:tcW w:w="2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92D394A" w14:textId="77777777" w:rsidR="0091213F" w:rsidRDefault="00000000">
            <w:r>
              <w:rPr>
                <w:color w:val="000000"/>
                <w:sz w:val="20"/>
                <w:szCs w:val="20"/>
              </w:rPr>
              <w:t>EDF Renewables, ACWA Power</w:t>
            </w:r>
          </w:p>
        </w:tc>
        <w:tc>
          <w:tcPr>
            <w:tcW w:w="26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6FB8E0C" w14:textId="77777777" w:rsidR="0091213F" w:rsidRDefault="00000000">
            <w:r>
              <w:rPr>
                <w:color w:val="000000"/>
                <w:sz w:val="20"/>
                <w:szCs w:val="20"/>
              </w:rPr>
              <w:t>Transition énergétique</w:t>
            </w:r>
          </w:p>
        </w:tc>
      </w:tr>
      <w:tr w:rsidR="0091213F" w14:paraId="088C56A8" w14:textId="77777777">
        <w:tc>
          <w:tcPr>
            <w:tcW w:w="2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DDF8AAD" w14:textId="77777777" w:rsidR="0091213F" w:rsidRDefault="00000000">
            <w:r>
              <w:rPr>
                <w:color w:val="000000"/>
                <w:sz w:val="20"/>
                <w:szCs w:val="20"/>
              </w:rPr>
              <w:t>Finance &amp; banque</w:t>
            </w:r>
          </w:p>
        </w:tc>
        <w:tc>
          <w:tcPr>
            <w:tcW w:w="16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3D80023" w14:textId="77777777" w:rsidR="0091213F" w:rsidRDefault="00000000">
            <w:r>
              <w:rPr>
                <w:color w:val="000000"/>
                <w:sz w:val="20"/>
                <w:szCs w:val="20"/>
              </w:rPr>
              <w:t>~8 %</w:t>
            </w:r>
          </w:p>
        </w:tc>
        <w:tc>
          <w:tcPr>
            <w:tcW w:w="2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08A3121" w14:textId="77777777" w:rsidR="0091213F" w:rsidRDefault="00000000">
            <w:r>
              <w:rPr>
                <w:color w:val="000000"/>
                <w:sz w:val="20"/>
                <w:szCs w:val="20"/>
              </w:rPr>
              <w:t>Société Générale, BNP, CIH</w:t>
            </w:r>
          </w:p>
        </w:tc>
        <w:tc>
          <w:tcPr>
            <w:tcW w:w="26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08BA6D8" w14:textId="77777777" w:rsidR="0091213F" w:rsidRDefault="00000000">
            <w:r>
              <w:rPr>
                <w:color w:val="000000"/>
                <w:sz w:val="20"/>
                <w:szCs w:val="20"/>
              </w:rPr>
              <w:t>Développement financier</w:t>
            </w:r>
          </w:p>
        </w:tc>
      </w:tr>
    </w:tbl>
    <w:p w14:paraId="0AE528A1" w14:textId="77777777" w:rsidR="0091213F" w:rsidRDefault="00000000">
      <w:pPr>
        <w:spacing w:before="80" w:after="200"/>
        <w:jc w:val="center"/>
      </w:pPr>
      <w:r>
        <w:rPr>
          <w:rFonts w:ascii="Arial" w:eastAsia="Arial" w:hAnsi="Arial" w:cs="Arial"/>
          <w:i/>
          <w:iCs/>
          <w:color w:val="6B7280"/>
          <w:sz w:val="18"/>
          <w:szCs w:val="18"/>
        </w:rPr>
        <w:t>Tableau 3.1 — Structure sectorielle des IDE entrants au Maroc (estimation, données AMDIE/CNUCED)</w:t>
      </w:r>
    </w:p>
    <w:p w14:paraId="14544CF2" w14:textId="5FE6C535" w:rsidR="0091213F" w:rsidRDefault="00000000">
      <w:pPr>
        <w:pageBreakBefore/>
        <w:pBdr>
          <w:bottom w:val="single" w:sz="14" w:space="0" w:color="C9A84C"/>
        </w:pBdr>
        <w:spacing w:after="120"/>
      </w:pPr>
      <w:r>
        <w:rPr>
          <w:rFonts w:ascii="Arial" w:eastAsia="Arial" w:hAnsi="Arial" w:cs="Arial"/>
          <w:b/>
          <w:bCs/>
          <w:color w:val="1B3A5C"/>
          <w:sz w:val="38"/>
          <w:szCs w:val="38"/>
        </w:rPr>
        <w:lastRenderedPageBreak/>
        <w:t>PARTIE II</w:t>
      </w:r>
      <w:r>
        <w:rPr>
          <w:rFonts w:ascii="Arial" w:eastAsia="Arial" w:hAnsi="Arial" w:cs="Arial"/>
          <w:b/>
          <w:bCs/>
          <w:color w:val="2E5F8A"/>
          <w:sz w:val="38"/>
          <w:szCs w:val="38"/>
        </w:rPr>
        <w:t> : Au-delà de la théorie : analyse empirique sur données réelles</w:t>
      </w:r>
    </w:p>
    <w:p w14:paraId="01188E56" w14:textId="77777777" w:rsidR="0091213F" w:rsidRDefault="00000000">
      <w:pPr>
        <w:spacing w:before="100" w:after="500"/>
      </w:pPr>
      <w:r>
        <w:rPr>
          <w:i/>
          <w:iCs/>
          <w:color w:val="6B7280"/>
        </w:rPr>
        <w:t>Construction d'un panel financier réel et test économétrique des déterminants des IDE en Afrique</w:t>
      </w:r>
    </w:p>
    <w:p w14:paraId="26192DBB" w14:textId="3158B440" w:rsidR="0091213F" w:rsidRDefault="00710AE3">
      <w:pPr>
        <w:pStyle w:val="Titre1"/>
        <w:pageBreakBefore/>
      </w:pPr>
      <w:bookmarkStart w:id="18" w:name="_Toc224419694"/>
      <w:r>
        <w:rPr>
          <w:color w:val="C9A84C"/>
        </w:rPr>
        <w:lastRenderedPageBreak/>
        <w:t xml:space="preserve">1.  </w:t>
      </w:r>
      <w:r>
        <w:t>Construction du panel de données réelles</w:t>
      </w:r>
      <w:bookmarkEnd w:id="18"/>
    </w:p>
    <w:p w14:paraId="2EFC2EC6" w14:textId="4C647D99" w:rsidR="0091213F" w:rsidRDefault="00710AE3">
      <w:pPr>
        <w:pStyle w:val="Titre2"/>
      </w:pPr>
      <w:bookmarkStart w:id="19" w:name="_Toc224419695"/>
      <w:r>
        <w:t>1.1  Démarche et sources</w:t>
      </w:r>
      <w:bookmarkEnd w:id="19"/>
    </w:p>
    <w:p w14:paraId="1B9B225F" w14:textId="77777777" w:rsidR="0091213F" w:rsidRDefault="00000000">
      <w:pPr>
        <w:spacing w:before="120" w:after="120" w:line="290" w:lineRule="auto"/>
        <w:jc w:val="both"/>
      </w:pPr>
      <w:r>
        <w:t>La valeur ajoutée de ce rapport réside dans le dépassement de la seule revue théorique. Nous avons collecté, nettoyé et structuré un panel de données financières réelles issu de trois bases institutionnelles internationales, disponibles en accès libre :</w:t>
      </w:r>
    </w:p>
    <w:p w14:paraId="29825215" w14:textId="77777777" w:rsidR="0091213F" w:rsidRDefault="00000000">
      <w:pPr>
        <w:pStyle w:val="Paragraphedeliste"/>
        <w:numPr>
          <w:ilvl w:val="0"/>
          <w:numId w:val="2"/>
        </w:numPr>
        <w:spacing w:before="80" w:after="80" w:line="278" w:lineRule="auto"/>
      </w:pPr>
      <w:r>
        <w:t>Banque Mondiale — WDI (World Development Indicators) : plus de 1 600 indicateurs macroéconomiques et financiers pour 217 pays. Accessible sur databank.worldbank.org. Variables extraites : flux d'IDE, PIB/habitant, inflation (déflateur PIB), ouverture commerciale, développement financier (crédit privé/PIB), solde du compte courant, dette extérieure/GNI, réserves de change, taux de change officiel.</w:t>
      </w:r>
    </w:p>
    <w:p w14:paraId="0793B29E" w14:textId="77777777" w:rsidR="0091213F" w:rsidRDefault="00000000">
      <w:pPr>
        <w:pStyle w:val="Paragraphedeliste"/>
        <w:numPr>
          <w:ilvl w:val="0"/>
          <w:numId w:val="2"/>
        </w:numPr>
        <w:spacing w:before="80" w:after="80" w:line="278" w:lineRule="auto"/>
      </w:pPr>
      <w:r>
        <w:t>Banque Mondiale — WGI (Worldwide Governance Indicators) : six dimensions de gouvernance institutionnelle pour 215 pays (échelle : −2,5 à +2,5). Dimensions retenues : efficacité gouvernementale, état de droit, stabilité politique, contrôle de la corruption, qualité réglementaire, liberté d'expression. Notre modèle utilise la moyenne arithmétique de ces six dimensions comme indice composite.</w:t>
      </w:r>
    </w:p>
    <w:p w14:paraId="483819B6" w14:textId="77777777" w:rsidR="0091213F" w:rsidRDefault="00000000">
      <w:pPr>
        <w:pStyle w:val="Paragraphedeliste"/>
        <w:numPr>
          <w:ilvl w:val="0"/>
          <w:numId w:val="2"/>
        </w:numPr>
        <w:spacing w:before="80" w:after="80" w:line="278" w:lineRule="auto"/>
      </w:pPr>
      <w:r>
        <w:t>CNUCED (Conférence des Nations Unies sur le Commerce et le Développement) : source de référence mondiale pour les statistiques d'IDE. Utilisée pour validation croisée des données WDI.</w:t>
      </w:r>
    </w:p>
    <w:p w14:paraId="2B3F2B71" w14:textId="371FD686" w:rsidR="0091213F" w:rsidRDefault="00710AE3">
      <w:pPr>
        <w:pStyle w:val="Titre2"/>
      </w:pPr>
      <w:bookmarkStart w:id="20" w:name="_Toc224419696"/>
      <w:r>
        <w:t>1.2  Sélection du panel</w:t>
      </w:r>
      <w:bookmarkEnd w:id="20"/>
    </w:p>
    <w:p w14:paraId="31725D1A" w14:textId="77777777" w:rsidR="0091213F" w:rsidRDefault="00000000">
      <w:pPr>
        <w:spacing w:before="120" w:after="120" w:line="290" w:lineRule="auto"/>
        <w:jc w:val="both"/>
      </w:pPr>
      <w:r>
        <w:t>Le panel couvre 17 pays africains sur 23 années (2000–2022), soit 391 observations effectives après traitement des valeurs manquantes. Les 4 pays initialement sélectionnés (DR Congo, Mali, Djibouti, Mauritanie) ont été écartés en raison de lacunes trop importantes dans les séries temporelles. Les années 2009–2015, absentes dans l'export WDI initial, ont été complétées par interpolation linéaire intra-individuelle — méthode standard en économétrie de panel pour les données administratives.</w:t>
      </w:r>
    </w:p>
    <w:tbl>
      <w:tblPr>
        <w:tblW w:w="8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5"/>
        <w:gridCol w:w="2489"/>
        <w:gridCol w:w="2401"/>
        <w:gridCol w:w="1126"/>
      </w:tblGrid>
      <w:tr w:rsidR="0091213F" w14:paraId="7003F08D" w14:textId="77777777">
        <w:trPr>
          <w:tblHeader/>
        </w:trPr>
        <w:tc>
          <w:tcPr>
            <w:tcW w:w="22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0B6A7A20" w14:textId="77777777" w:rsidR="0091213F" w:rsidRDefault="00000000">
            <w:pPr>
              <w:jc w:val="center"/>
            </w:pPr>
            <w:r>
              <w:rPr>
                <w:rFonts w:ascii="Arial" w:eastAsia="Arial" w:hAnsi="Arial" w:cs="Arial"/>
                <w:b/>
                <w:bCs/>
                <w:color w:val="FFFFFF"/>
                <w:sz w:val="20"/>
                <w:szCs w:val="20"/>
              </w:rPr>
              <w:t>Variable</w:t>
            </w:r>
          </w:p>
        </w:tc>
        <w:tc>
          <w:tcPr>
            <w:tcW w:w="21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0EDBE2A3" w14:textId="77777777" w:rsidR="0091213F" w:rsidRDefault="00000000">
            <w:pPr>
              <w:jc w:val="center"/>
            </w:pPr>
            <w:r>
              <w:rPr>
                <w:rFonts w:ascii="Arial" w:eastAsia="Arial" w:hAnsi="Arial" w:cs="Arial"/>
                <w:b/>
                <w:bCs/>
                <w:color w:val="FFFFFF"/>
                <w:sz w:val="20"/>
                <w:szCs w:val="20"/>
              </w:rPr>
              <w:t>Code WDI / Source</w:t>
            </w:r>
          </w:p>
        </w:tc>
        <w:tc>
          <w:tcPr>
            <w:tcW w:w="26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249245DB" w14:textId="77777777" w:rsidR="0091213F" w:rsidRDefault="00000000">
            <w:pPr>
              <w:jc w:val="center"/>
            </w:pPr>
            <w:r>
              <w:rPr>
                <w:rFonts w:ascii="Arial" w:eastAsia="Arial" w:hAnsi="Arial" w:cs="Arial"/>
                <w:b/>
                <w:bCs/>
                <w:color w:val="FFFFFF"/>
                <w:sz w:val="20"/>
                <w:szCs w:val="20"/>
              </w:rPr>
              <w:t>Justification théorique</w:t>
            </w:r>
          </w:p>
        </w:tc>
        <w:tc>
          <w:tcPr>
            <w:tcW w:w="1171"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1A8EB6B5" w14:textId="77777777" w:rsidR="0091213F" w:rsidRDefault="00000000">
            <w:pPr>
              <w:jc w:val="center"/>
            </w:pPr>
            <w:r>
              <w:rPr>
                <w:rFonts w:ascii="Arial" w:eastAsia="Arial" w:hAnsi="Arial" w:cs="Arial"/>
                <w:b/>
                <w:bCs/>
                <w:color w:val="FFFFFF"/>
                <w:sz w:val="20"/>
                <w:szCs w:val="20"/>
              </w:rPr>
              <w:t>Signe attendu</w:t>
            </w:r>
          </w:p>
        </w:tc>
      </w:tr>
      <w:tr w:rsidR="0091213F" w14:paraId="5EF792AB" w14:textId="77777777">
        <w:tc>
          <w:tcPr>
            <w:tcW w:w="22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2305745" w14:textId="77777777" w:rsidR="0091213F" w:rsidRDefault="00000000">
            <w:r>
              <w:rPr>
                <w:rFonts w:ascii="Arial" w:eastAsia="Arial" w:hAnsi="Arial" w:cs="Arial"/>
                <w:b/>
                <w:bCs/>
                <w:color w:val="000000"/>
                <w:sz w:val="20"/>
                <w:szCs w:val="20"/>
              </w:rPr>
              <w:t>IDE entrants (% PIB)</w:t>
            </w:r>
          </w:p>
        </w:tc>
        <w:tc>
          <w:tcPr>
            <w:tcW w:w="2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390CA41" w14:textId="77777777" w:rsidR="0091213F" w:rsidRDefault="00000000">
            <w:r>
              <w:rPr>
                <w:color w:val="000000"/>
                <w:sz w:val="20"/>
                <w:szCs w:val="20"/>
              </w:rPr>
              <w:t>BX.KLT.DINV.WD.GD.ZS</w:t>
            </w:r>
          </w:p>
        </w:tc>
        <w:tc>
          <w:tcPr>
            <w:tcW w:w="26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4AC17CD" w14:textId="77777777" w:rsidR="0091213F" w:rsidRDefault="00000000">
            <w:r>
              <w:rPr>
                <w:color w:val="000000"/>
                <w:sz w:val="20"/>
                <w:szCs w:val="20"/>
              </w:rPr>
              <w:t>Variable dépendante</w:t>
            </w:r>
          </w:p>
        </w:tc>
        <w:tc>
          <w:tcPr>
            <w:tcW w:w="11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919D470" w14:textId="77777777" w:rsidR="0091213F" w:rsidRDefault="00000000">
            <w:r>
              <w:rPr>
                <w:color w:val="000000"/>
                <w:sz w:val="20"/>
                <w:szCs w:val="20"/>
              </w:rPr>
              <w:t>—</w:t>
            </w:r>
          </w:p>
        </w:tc>
      </w:tr>
      <w:tr w:rsidR="0091213F" w14:paraId="2BD5E1A7" w14:textId="77777777">
        <w:tc>
          <w:tcPr>
            <w:tcW w:w="22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AC29CFC" w14:textId="77777777" w:rsidR="0091213F" w:rsidRDefault="00000000">
            <w:r>
              <w:rPr>
                <w:color w:val="000000"/>
                <w:sz w:val="20"/>
                <w:szCs w:val="20"/>
              </w:rPr>
              <w:t>ln(PIB/habitant, USD)</w:t>
            </w:r>
          </w:p>
        </w:tc>
        <w:tc>
          <w:tcPr>
            <w:tcW w:w="2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70D5AD7" w14:textId="77777777" w:rsidR="0091213F" w:rsidRDefault="00000000">
            <w:r>
              <w:rPr>
                <w:color w:val="000000"/>
                <w:sz w:val="20"/>
                <w:szCs w:val="20"/>
              </w:rPr>
              <w:t>NY.GDP.PCAP.CD — WDI</w:t>
            </w:r>
          </w:p>
        </w:tc>
        <w:tc>
          <w:tcPr>
            <w:tcW w:w="26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662EE81" w14:textId="77777777" w:rsidR="0091213F" w:rsidRDefault="00000000">
            <w:r>
              <w:rPr>
                <w:color w:val="000000"/>
                <w:sz w:val="20"/>
                <w:szCs w:val="20"/>
              </w:rPr>
              <w:t>Effet taille de marché (OLI, pilier L)</w:t>
            </w:r>
          </w:p>
        </w:tc>
        <w:tc>
          <w:tcPr>
            <w:tcW w:w="11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C64A335" w14:textId="77777777" w:rsidR="0091213F" w:rsidRDefault="00000000">
            <w:r>
              <w:rPr>
                <w:color w:val="000000"/>
                <w:sz w:val="20"/>
                <w:szCs w:val="20"/>
              </w:rPr>
              <w:t>+</w:t>
            </w:r>
          </w:p>
        </w:tc>
      </w:tr>
      <w:tr w:rsidR="0091213F" w14:paraId="2B5E5ABC" w14:textId="77777777">
        <w:tc>
          <w:tcPr>
            <w:tcW w:w="22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73E7C63" w14:textId="77777777" w:rsidR="0091213F" w:rsidRDefault="00000000">
            <w:r>
              <w:rPr>
                <w:color w:val="000000"/>
                <w:sz w:val="20"/>
                <w:szCs w:val="20"/>
              </w:rPr>
              <w:t>Inflation (déflateur PIB)</w:t>
            </w:r>
          </w:p>
        </w:tc>
        <w:tc>
          <w:tcPr>
            <w:tcW w:w="2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336CF10" w14:textId="77777777" w:rsidR="0091213F" w:rsidRDefault="00000000">
            <w:r>
              <w:rPr>
                <w:color w:val="000000"/>
                <w:sz w:val="20"/>
                <w:szCs w:val="20"/>
              </w:rPr>
              <w:t>NY.GDP.DEFL.KD.ZG — WDI</w:t>
            </w:r>
          </w:p>
        </w:tc>
        <w:tc>
          <w:tcPr>
            <w:tcW w:w="26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8B25E46" w14:textId="77777777" w:rsidR="0091213F" w:rsidRDefault="00000000">
            <w:r>
              <w:rPr>
                <w:color w:val="000000"/>
                <w:sz w:val="20"/>
                <w:szCs w:val="20"/>
              </w:rPr>
              <w:t>Instabilité macroéconomique</w:t>
            </w:r>
          </w:p>
        </w:tc>
        <w:tc>
          <w:tcPr>
            <w:tcW w:w="11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DD76584" w14:textId="77777777" w:rsidR="0091213F" w:rsidRDefault="00000000">
            <w:r>
              <w:rPr>
                <w:color w:val="000000"/>
                <w:sz w:val="20"/>
                <w:szCs w:val="20"/>
              </w:rPr>
              <w:t>−</w:t>
            </w:r>
          </w:p>
        </w:tc>
      </w:tr>
      <w:tr w:rsidR="0091213F" w14:paraId="13D322D7" w14:textId="77777777">
        <w:tc>
          <w:tcPr>
            <w:tcW w:w="22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DCBB9B5" w14:textId="77777777" w:rsidR="0091213F" w:rsidRDefault="00000000">
            <w:r>
              <w:rPr>
                <w:color w:val="000000"/>
                <w:sz w:val="20"/>
                <w:szCs w:val="20"/>
              </w:rPr>
              <w:t>Ouverture commerciale (X+M)/PIB</w:t>
            </w:r>
          </w:p>
        </w:tc>
        <w:tc>
          <w:tcPr>
            <w:tcW w:w="2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BA045AB" w14:textId="77777777" w:rsidR="0091213F" w:rsidRDefault="00000000">
            <w:r>
              <w:rPr>
                <w:color w:val="000000"/>
                <w:sz w:val="20"/>
                <w:szCs w:val="20"/>
              </w:rPr>
              <w:t>NE.TRD.GNFS.ZS — WDI</w:t>
            </w:r>
          </w:p>
        </w:tc>
        <w:tc>
          <w:tcPr>
            <w:tcW w:w="26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E9DA70E" w14:textId="77777777" w:rsidR="0091213F" w:rsidRDefault="00000000">
            <w:r>
              <w:rPr>
                <w:color w:val="000000"/>
                <w:sz w:val="20"/>
                <w:szCs w:val="20"/>
              </w:rPr>
              <w:t>Intégration internationale</w:t>
            </w:r>
          </w:p>
        </w:tc>
        <w:tc>
          <w:tcPr>
            <w:tcW w:w="11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11EC0B2" w14:textId="77777777" w:rsidR="0091213F" w:rsidRDefault="00000000">
            <w:r>
              <w:rPr>
                <w:color w:val="000000"/>
                <w:sz w:val="20"/>
                <w:szCs w:val="20"/>
              </w:rPr>
              <w:t>+</w:t>
            </w:r>
          </w:p>
        </w:tc>
      </w:tr>
      <w:tr w:rsidR="0091213F" w14:paraId="28881607" w14:textId="77777777">
        <w:tc>
          <w:tcPr>
            <w:tcW w:w="22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5EC5219" w14:textId="77777777" w:rsidR="0091213F" w:rsidRDefault="00000000">
            <w:r>
              <w:rPr>
                <w:color w:val="000000"/>
                <w:sz w:val="20"/>
                <w:szCs w:val="20"/>
              </w:rPr>
              <w:t>Gouvernance WGI composite</w:t>
            </w:r>
          </w:p>
        </w:tc>
        <w:tc>
          <w:tcPr>
            <w:tcW w:w="2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6164CB4" w14:textId="77777777" w:rsidR="0091213F" w:rsidRDefault="00000000">
            <w:r>
              <w:rPr>
                <w:color w:val="000000"/>
                <w:sz w:val="20"/>
                <w:szCs w:val="20"/>
              </w:rPr>
              <w:t>GE+RL+PV+CC+RQ+VA — WGI</w:t>
            </w:r>
          </w:p>
        </w:tc>
        <w:tc>
          <w:tcPr>
            <w:tcW w:w="26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0897FC0" w14:textId="77777777" w:rsidR="0091213F" w:rsidRDefault="00000000">
            <w:r>
              <w:rPr>
                <w:color w:val="000000"/>
                <w:sz w:val="20"/>
                <w:szCs w:val="20"/>
              </w:rPr>
              <w:t>Qualité institutionnelle, risque pays</w:t>
            </w:r>
          </w:p>
        </w:tc>
        <w:tc>
          <w:tcPr>
            <w:tcW w:w="11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5F6CFA0" w14:textId="77777777" w:rsidR="0091213F" w:rsidRDefault="00000000">
            <w:r>
              <w:rPr>
                <w:color w:val="000000"/>
                <w:sz w:val="20"/>
                <w:szCs w:val="20"/>
              </w:rPr>
              <w:t>+</w:t>
            </w:r>
          </w:p>
        </w:tc>
      </w:tr>
      <w:tr w:rsidR="0091213F" w14:paraId="139453DF" w14:textId="77777777">
        <w:tc>
          <w:tcPr>
            <w:tcW w:w="22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7C1C969" w14:textId="77777777" w:rsidR="0091213F" w:rsidRDefault="00000000">
            <w:r>
              <w:rPr>
                <w:color w:val="000000"/>
                <w:sz w:val="20"/>
                <w:szCs w:val="20"/>
              </w:rPr>
              <w:lastRenderedPageBreak/>
              <w:t>ln(Taux de change officiel)</w:t>
            </w:r>
          </w:p>
        </w:tc>
        <w:tc>
          <w:tcPr>
            <w:tcW w:w="2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305883D5" w14:textId="77777777" w:rsidR="0091213F" w:rsidRDefault="00000000">
            <w:r>
              <w:rPr>
                <w:color w:val="000000"/>
                <w:sz w:val="20"/>
                <w:szCs w:val="20"/>
              </w:rPr>
              <w:t>ln(PA.NUS.FCRF) — WDI</w:t>
            </w:r>
          </w:p>
        </w:tc>
        <w:tc>
          <w:tcPr>
            <w:tcW w:w="26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EC64F2E" w14:textId="77777777" w:rsidR="0091213F" w:rsidRDefault="00000000">
            <w:r>
              <w:rPr>
                <w:color w:val="000000"/>
                <w:sz w:val="20"/>
                <w:szCs w:val="20"/>
              </w:rPr>
              <w:t>Proxy REER, compétitivité-coûts</w:t>
            </w:r>
          </w:p>
        </w:tc>
        <w:tc>
          <w:tcPr>
            <w:tcW w:w="11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8D87885" w14:textId="77777777" w:rsidR="0091213F" w:rsidRDefault="00000000">
            <w:r>
              <w:rPr>
                <w:color w:val="000000"/>
                <w:sz w:val="20"/>
                <w:szCs w:val="20"/>
              </w:rPr>
              <w:t>±</w:t>
            </w:r>
          </w:p>
        </w:tc>
      </w:tr>
      <w:tr w:rsidR="0091213F" w14:paraId="16037D62" w14:textId="77777777">
        <w:tc>
          <w:tcPr>
            <w:tcW w:w="22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C62456A" w14:textId="77777777" w:rsidR="0091213F" w:rsidRDefault="00000000">
            <w:r>
              <w:rPr>
                <w:color w:val="000000"/>
                <w:sz w:val="20"/>
                <w:szCs w:val="20"/>
              </w:rPr>
              <w:t>Développement financier (% PIB)</w:t>
            </w:r>
          </w:p>
        </w:tc>
        <w:tc>
          <w:tcPr>
            <w:tcW w:w="2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10DBE37" w14:textId="77777777" w:rsidR="0091213F" w:rsidRDefault="00000000">
            <w:r>
              <w:rPr>
                <w:color w:val="000000"/>
                <w:sz w:val="20"/>
                <w:szCs w:val="20"/>
              </w:rPr>
              <w:t>FS.AST.PRVT.GD.ZS — WDI</w:t>
            </w:r>
          </w:p>
        </w:tc>
        <w:tc>
          <w:tcPr>
            <w:tcW w:w="26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746FB21" w14:textId="77777777" w:rsidR="0091213F" w:rsidRDefault="00000000">
            <w:r>
              <w:rPr>
                <w:color w:val="000000"/>
                <w:sz w:val="20"/>
                <w:szCs w:val="20"/>
              </w:rPr>
              <w:t>Profondeur financière</w:t>
            </w:r>
          </w:p>
        </w:tc>
        <w:tc>
          <w:tcPr>
            <w:tcW w:w="11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91CEED6" w14:textId="77777777" w:rsidR="0091213F" w:rsidRDefault="00000000">
            <w:r>
              <w:rPr>
                <w:color w:val="000000"/>
                <w:sz w:val="20"/>
                <w:szCs w:val="20"/>
              </w:rPr>
              <w:t>+</w:t>
            </w:r>
          </w:p>
        </w:tc>
      </w:tr>
      <w:tr w:rsidR="0091213F" w14:paraId="4E9FAE3C" w14:textId="77777777">
        <w:tc>
          <w:tcPr>
            <w:tcW w:w="22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EEDD2D3" w14:textId="77777777" w:rsidR="0091213F" w:rsidRDefault="00000000">
            <w:r>
              <w:rPr>
                <w:color w:val="000000"/>
                <w:sz w:val="20"/>
                <w:szCs w:val="20"/>
              </w:rPr>
              <w:t>Solde compte courant (% PIB)</w:t>
            </w:r>
          </w:p>
        </w:tc>
        <w:tc>
          <w:tcPr>
            <w:tcW w:w="2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4BDA14D" w14:textId="77777777" w:rsidR="0091213F" w:rsidRDefault="00000000">
            <w:r>
              <w:rPr>
                <w:color w:val="000000"/>
                <w:sz w:val="20"/>
                <w:szCs w:val="20"/>
              </w:rPr>
              <w:t>BN.CAB.XOKA.GD.ZS — FMI/WDI</w:t>
            </w:r>
          </w:p>
        </w:tc>
        <w:tc>
          <w:tcPr>
            <w:tcW w:w="26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9E1C6BD" w14:textId="77777777" w:rsidR="0091213F" w:rsidRDefault="00000000">
            <w:r>
              <w:rPr>
                <w:color w:val="000000"/>
                <w:sz w:val="20"/>
                <w:szCs w:val="20"/>
              </w:rPr>
              <w:t>Contrainte BDP, besoin financement</w:t>
            </w:r>
          </w:p>
        </w:tc>
        <w:tc>
          <w:tcPr>
            <w:tcW w:w="11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5920A3E" w14:textId="77777777" w:rsidR="0091213F" w:rsidRDefault="00000000">
            <w:r>
              <w:rPr>
                <w:color w:val="000000"/>
                <w:sz w:val="20"/>
                <w:szCs w:val="20"/>
              </w:rPr>
              <w:t>−</w:t>
            </w:r>
          </w:p>
        </w:tc>
      </w:tr>
      <w:tr w:rsidR="0091213F" w14:paraId="5C88BD3A" w14:textId="77777777">
        <w:tc>
          <w:tcPr>
            <w:tcW w:w="22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EEC1919" w14:textId="77777777" w:rsidR="0091213F" w:rsidRDefault="00000000">
            <w:r>
              <w:rPr>
                <w:color w:val="000000"/>
                <w:sz w:val="20"/>
                <w:szCs w:val="20"/>
              </w:rPr>
              <w:t>Dette extérieure (% GNI)</w:t>
            </w:r>
          </w:p>
        </w:tc>
        <w:tc>
          <w:tcPr>
            <w:tcW w:w="2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28BC41A" w14:textId="77777777" w:rsidR="0091213F" w:rsidRDefault="00000000">
            <w:r>
              <w:rPr>
                <w:color w:val="000000"/>
                <w:sz w:val="20"/>
                <w:szCs w:val="20"/>
              </w:rPr>
              <w:t>DT.DOD.DECT.GN.ZS — WDI</w:t>
            </w:r>
          </w:p>
        </w:tc>
        <w:tc>
          <w:tcPr>
            <w:tcW w:w="26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6EEE220" w14:textId="77777777" w:rsidR="0091213F" w:rsidRDefault="00000000">
            <w:r>
              <w:rPr>
                <w:color w:val="000000"/>
                <w:sz w:val="20"/>
                <w:szCs w:val="20"/>
              </w:rPr>
              <w:t>Vulnérabilité externe</w:t>
            </w:r>
          </w:p>
        </w:tc>
        <w:tc>
          <w:tcPr>
            <w:tcW w:w="11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565C6CE" w14:textId="77777777" w:rsidR="0091213F" w:rsidRDefault="00000000">
            <w:r>
              <w:rPr>
                <w:color w:val="000000"/>
                <w:sz w:val="20"/>
                <w:szCs w:val="20"/>
              </w:rPr>
              <w:t>−</w:t>
            </w:r>
          </w:p>
        </w:tc>
      </w:tr>
      <w:tr w:rsidR="0091213F" w14:paraId="3917FA01" w14:textId="77777777">
        <w:tc>
          <w:tcPr>
            <w:tcW w:w="22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4D04599" w14:textId="77777777" w:rsidR="0091213F" w:rsidRDefault="00000000">
            <w:r>
              <w:rPr>
                <w:color w:val="000000"/>
                <w:sz w:val="20"/>
                <w:szCs w:val="20"/>
              </w:rPr>
              <w:t>Réserves de change (mois import.)</w:t>
            </w:r>
          </w:p>
        </w:tc>
        <w:tc>
          <w:tcPr>
            <w:tcW w:w="2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50AA4CC" w14:textId="77777777" w:rsidR="0091213F" w:rsidRDefault="00000000">
            <w:r>
              <w:rPr>
                <w:color w:val="000000"/>
                <w:sz w:val="20"/>
                <w:szCs w:val="20"/>
              </w:rPr>
              <w:t>FI.RES.TOTL.MO — WDI</w:t>
            </w:r>
          </w:p>
        </w:tc>
        <w:tc>
          <w:tcPr>
            <w:tcW w:w="26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460F203" w14:textId="77777777" w:rsidR="0091213F" w:rsidRDefault="00000000">
            <w:r>
              <w:rPr>
                <w:color w:val="000000"/>
                <w:sz w:val="20"/>
                <w:szCs w:val="20"/>
              </w:rPr>
              <w:t>Signal solvabilité externe</w:t>
            </w:r>
          </w:p>
        </w:tc>
        <w:tc>
          <w:tcPr>
            <w:tcW w:w="11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6313701" w14:textId="77777777" w:rsidR="0091213F" w:rsidRDefault="00000000">
            <w:r>
              <w:rPr>
                <w:color w:val="000000"/>
                <w:sz w:val="20"/>
                <w:szCs w:val="20"/>
              </w:rPr>
              <w:t>+</w:t>
            </w:r>
          </w:p>
        </w:tc>
      </w:tr>
    </w:tbl>
    <w:p w14:paraId="67DECDA1" w14:textId="77777777" w:rsidR="0091213F" w:rsidRDefault="00000000">
      <w:pPr>
        <w:spacing w:before="80" w:after="200"/>
        <w:jc w:val="center"/>
      </w:pPr>
      <w:r>
        <w:rPr>
          <w:rFonts w:ascii="Arial" w:eastAsia="Arial" w:hAnsi="Arial" w:cs="Arial"/>
          <w:i/>
          <w:iCs/>
          <w:color w:val="6B7280"/>
          <w:sz w:val="18"/>
          <w:szCs w:val="18"/>
        </w:rPr>
        <w:t>Tableau 4.1 — Variables du modèle : sources, fondements et signes attendus 391 observations effectives — 17 pays — 23 années (2000–2022)</w:t>
      </w:r>
    </w:p>
    <w:p w14:paraId="69838E73" w14:textId="4CD57713" w:rsidR="0091213F" w:rsidRDefault="00710AE3">
      <w:pPr>
        <w:pStyle w:val="Titre2"/>
      </w:pPr>
      <w:bookmarkStart w:id="21" w:name="_Toc224419697"/>
      <w:r>
        <w:t>1.3  Statistiques descriptives</w:t>
      </w:r>
      <w:bookmarkEnd w:id="21"/>
    </w:p>
    <w:tbl>
      <w:tblPr>
        <w:tblW w:w="8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0"/>
        <w:gridCol w:w="1107"/>
        <w:gridCol w:w="1044"/>
        <w:gridCol w:w="1092"/>
        <w:gridCol w:w="1099"/>
        <w:gridCol w:w="1259"/>
      </w:tblGrid>
      <w:tr w:rsidR="0091213F" w14:paraId="5B1DCCB3" w14:textId="77777777">
        <w:trPr>
          <w:tblHeader/>
        </w:trPr>
        <w:tc>
          <w:tcPr>
            <w:tcW w:w="25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76FCC05E" w14:textId="77777777" w:rsidR="0091213F" w:rsidRDefault="00000000">
            <w:pPr>
              <w:jc w:val="center"/>
            </w:pPr>
            <w:r>
              <w:rPr>
                <w:rFonts w:ascii="Arial" w:eastAsia="Arial" w:hAnsi="Arial" w:cs="Arial"/>
                <w:b/>
                <w:bCs/>
                <w:color w:val="FFFFFF"/>
                <w:sz w:val="20"/>
                <w:szCs w:val="20"/>
              </w:rPr>
              <w:t>Variable</w:t>
            </w:r>
          </w:p>
        </w:tc>
        <w:tc>
          <w:tcPr>
            <w:tcW w:w="105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596CDA3F" w14:textId="77777777" w:rsidR="0091213F" w:rsidRDefault="00000000">
            <w:pPr>
              <w:jc w:val="center"/>
            </w:pPr>
            <w:r>
              <w:rPr>
                <w:rFonts w:ascii="Arial" w:eastAsia="Arial" w:hAnsi="Arial" w:cs="Arial"/>
                <w:b/>
                <w:bCs/>
                <w:color w:val="FFFFFF"/>
                <w:sz w:val="20"/>
                <w:szCs w:val="20"/>
              </w:rPr>
              <w:t>Moyenne</w:t>
            </w:r>
          </w:p>
        </w:tc>
        <w:tc>
          <w:tcPr>
            <w:tcW w:w="105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3FFD85B8" w14:textId="77777777" w:rsidR="0091213F" w:rsidRDefault="00000000">
            <w:pPr>
              <w:jc w:val="center"/>
            </w:pPr>
            <w:r>
              <w:rPr>
                <w:rFonts w:ascii="Arial" w:eastAsia="Arial" w:hAnsi="Arial" w:cs="Arial"/>
                <w:b/>
                <w:bCs/>
                <w:color w:val="FFFFFF"/>
                <w:sz w:val="20"/>
                <w:szCs w:val="20"/>
              </w:rPr>
              <w:t>Écart-type</w:t>
            </w:r>
          </w:p>
        </w:tc>
        <w:tc>
          <w:tcPr>
            <w:tcW w:w="11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7BFFADB8" w14:textId="77777777" w:rsidR="0091213F" w:rsidRDefault="00000000">
            <w:pPr>
              <w:jc w:val="center"/>
            </w:pPr>
            <w:r>
              <w:rPr>
                <w:rFonts w:ascii="Arial" w:eastAsia="Arial" w:hAnsi="Arial" w:cs="Arial"/>
                <w:b/>
                <w:bCs/>
                <w:color w:val="FFFFFF"/>
                <w:sz w:val="20"/>
                <w:szCs w:val="20"/>
              </w:rPr>
              <w:t>Min</w:t>
            </w:r>
          </w:p>
        </w:tc>
        <w:tc>
          <w:tcPr>
            <w:tcW w:w="11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1AB86FCC" w14:textId="77777777" w:rsidR="0091213F" w:rsidRDefault="00000000">
            <w:pPr>
              <w:jc w:val="center"/>
            </w:pPr>
            <w:r>
              <w:rPr>
                <w:rFonts w:ascii="Arial" w:eastAsia="Arial" w:hAnsi="Arial" w:cs="Arial"/>
                <w:b/>
                <w:bCs/>
                <w:color w:val="FFFFFF"/>
                <w:sz w:val="20"/>
                <w:szCs w:val="20"/>
              </w:rPr>
              <w:t>Médiane</w:t>
            </w:r>
          </w:p>
        </w:tc>
        <w:tc>
          <w:tcPr>
            <w:tcW w:w="1271"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30A593A4" w14:textId="77777777" w:rsidR="0091213F" w:rsidRDefault="00000000">
            <w:pPr>
              <w:jc w:val="center"/>
            </w:pPr>
            <w:r>
              <w:rPr>
                <w:rFonts w:ascii="Arial" w:eastAsia="Arial" w:hAnsi="Arial" w:cs="Arial"/>
                <w:b/>
                <w:bCs/>
                <w:color w:val="FFFFFF"/>
                <w:sz w:val="20"/>
                <w:szCs w:val="20"/>
              </w:rPr>
              <w:t>Max</w:t>
            </w:r>
          </w:p>
        </w:tc>
      </w:tr>
      <w:tr w:rsidR="0091213F" w14:paraId="2D210C1B" w14:textId="77777777">
        <w:tc>
          <w:tcPr>
            <w:tcW w:w="2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142CBDE" w14:textId="77777777" w:rsidR="0091213F" w:rsidRDefault="00000000">
            <w:r>
              <w:rPr>
                <w:rFonts w:ascii="Arial" w:eastAsia="Arial" w:hAnsi="Arial" w:cs="Arial"/>
                <w:b/>
                <w:bCs/>
                <w:color w:val="000000"/>
                <w:sz w:val="20"/>
                <w:szCs w:val="20"/>
              </w:rPr>
              <w:t>IDE entrants (% PIB)</w:t>
            </w:r>
          </w:p>
        </w:tc>
        <w:tc>
          <w:tcPr>
            <w:tcW w:w="105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A93B926" w14:textId="77777777" w:rsidR="0091213F" w:rsidRDefault="00000000">
            <w:r>
              <w:rPr>
                <w:color w:val="000000"/>
                <w:sz w:val="20"/>
                <w:szCs w:val="20"/>
              </w:rPr>
              <w:t>3,577</w:t>
            </w:r>
          </w:p>
        </w:tc>
        <w:tc>
          <w:tcPr>
            <w:tcW w:w="105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032B4CE" w14:textId="77777777" w:rsidR="0091213F" w:rsidRDefault="00000000">
            <w:r>
              <w:rPr>
                <w:color w:val="000000"/>
                <w:sz w:val="20"/>
                <w:szCs w:val="20"/>
              </w:rPr>
              <w:t>4,833</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44F200C" w14:textId="77777777" w:rsidR="0091213F" w:rsidRDefault="00000000">
            <w:r>
              <w:rPr>
                <w:color w:val="000000"/>
                <w:sz w:val="20"/>
                <w:szCs w:val="20"/>
              </w:rPr>
              <w:t>−17,29</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A8D44B4" w14:textId="77777777" w:rsidR="0091213F" w:rsidRDefault="00000000">
            <w:r>
              <w:rPr>
                <w:color w:val="000000"/>
                <w:sz w:val="20"/>
                <w:szCs w:val="20"/>
              </w:rPr>
              <w:t>2,349</w:t>
            </w:r>
          </w:p>
        </w:tc>
        <w:tc>
          <w:tcPr>
            <w:tcW w:w="12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89166C9" w14:textId="77777777" w:rsidR="0091213F" w:rsidRDefault="00000000">
            <w:r>
              <w:rPr>
                <w:color w:val="000000"/>
                <w:sz w:val="20"/>
                <w:szCs w:val="20"/>
              </w:rPr>
              <w:t>37,32</w:t>
            </w:r>
          </w:p>
        </w:tc>
      </w:tr>
      <w:tr w:rsidR="0091213F" w14:paraId="6F0CEA11" w14:textId="77777777">
        <w:tc>
          <w:tcPr>
            <w:tcW w:w="2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7DA2E8A" w14:textId="77777777" w:rsidR="0091213F" w:rsidRDefault="00000000">
            <w:r>
              <w:rPr>
                <w:color w:val="000000"/>
                <w:sz w:val="20"/>
                <w:szCs w:val="20"/>
              </w:rPr>
              <w:t>ln(PIB/hab)</w:t>
            </w:r>
          </w:p>
        </w:tc>
        <w:tc>
          <w:tcPr>
            <w:tcW w:w="105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38384FF5" w14:textId="77777777" w:rsidR="0091213F" w:rsidRDefault="00000000">
            <w:r>
              <w:rPr>
                <w:color w:val="000000"/>
                <w:sz w:val="20"/>
                <w:szCs w:val="20"/>
              </w:rPr>
              <w:t>7,249</w:t>
            </w:r>
          </w:p>
        </w:tc>
        <w:tc>
          <w:tcPr>
            <w:tcW w:w="105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3602C17" w14:textId="77777777" w:rsidR="0091213F" w:rsidRDefault="00000000">
            <w:r>
              <w:rPr>
                <w:color w:val="000000"/>
                <w:sz w:val="20"/>
                <w:szCs w:val="20"/>
              </w:rPr>
              <w:t>0,962</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B885022" w14:textId="77777777" w:rsidR="0091213F" w:rsidRDefault="00000000">
            <w:r>
              <w:rPr>
                <w:color w:val="000000"/>
                <w:sz w:val="20"/>
                <w:szCs w:val="20"/>
              </w:rPr>
              <w:t>4,697</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37772A21" w14:textId="77777777" w:rsidR="0091213F" w:rsidRDefault="00000000">
            <w:r>
              <w:rPr>
                <w:color w:val="000000"/>
                <w:sz w:val="20"/>
                <w:szCs w:val="20"/>
              </w:rPr>
              <w:t>7,256</w:t>
            </w:r>
          </w:p>
        </w:tc>
        <w:tc>
          <w:tcPr>
            <w:tcW w:w="12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197FE8A" w14:textId="77777777" w:rsidR="0091213F" w:rsidRDefault="00000000">
            <w:r>
              <w:rPr>
                <w:color w:val="000000"/>
                <w:sz w:val="20"/>
                <w:szCs w:val="20"/>
              </w:rPr>
              <w:t>9,179</w:t>
            </w:r>
          </w:p>
        </w:tc>
      </w:tr>
      <w:tr w:rsidR="0091213F" w14:paraId="7992FB35" w14:textId="77777777">
        <w:tc>
          <w:tcPr>
            <w:tcW w:w="2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D7C8AC8" w14:textId="77777777" w:rsidR="0091213F" w:rsidRDefault="00000000">
            <w:r>
              <w:rPr>
                <w:color w:val="000000"/>
                <w:sz w:val="20"/>
                <w:szCs w:val="20"/>
              </w:rPr>
              <w:t>Inflation (%)</w:t>
            </w:r>
          </w:p>
        </w:tc>
        <w:tc>
          <w:tcPr>
            <w:tcW w:w="105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DE4F732" w14:textId="77777777" w:rsidR="0091213F" w:rsidRDefault="00000000">
            <w:r>
              <w:rPr>
                <w:color w:val="000000"/>
                <w:sz w:val="20"/>
                <w:szCs w:val="20"/>
              </w:rPr>
              <w:t>14,14</w:t>
            </w:r>
          </w:p>
        </w:tc>
        <w:tc>
          <w:tcPr>
            <w:tcW w:w="105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3EBF928" w14:textId="77777777" w:rsidR="0091213F" w:rsidRDefault="00000000">
            <w:r>
              <w:rPr>
                <w:color w:val="000000"/>
                <w:sz w:val="20"/>
                <w:szCs w:val="20"/>
              </w:rPr>
              <w:t>42,25</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EC22BA7" w14:textId="77777777" w:rsidR="0091213F" w:rsidRDefault="00000000">
            <w:r>
              <w:rPr>
                <w:color w:val="000000"/>
                <w:sz w:val="20"/>
                <w:szCs w:val="20"/>
              </w:rPr>
              <w:t>−14,00</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A118161" w14:textId="77777777" w:rsidR="0091213F" w:rsidRDefault="00000000">
            <w:r>
              <w:rPr>
                <w:color w:val="000000"/>
                <w:sz w:val="20"/>
                <w:szCs w:val="20"/>
              </w:rPr>
              <w:t>7,46</w:t>
            </w:r>
          </w:p>
        </w:tc>
        <w:tc>
          <w:tcPr>
            <w:tcW w:w="12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C9D4CAA" w14:textId="77777777" w:rsidR="0091213F" w:rsidRDefault="00000000">
            <w:r>
              <w:rPr>
                <w:color w:val="000000"/>
                <w:sz w:val="20"/>
                <w:szCs w:val="20"/>
              </w:rPr>
              <w:t>585,97</w:t>
            </w:r>
          </w:p>
        </w:tc>
      </w:tr>
      <w:tr w:rsidR="0091213F" w14:paraId="335201F2" w14:textId="77777777">
        <w:tc>
          <w:tcPr>
            <w:tcW w:w="2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6BC1E36" w14:textId="77777777" w:rsidR="0091213F" w:rsidRDefault="00000000">
            <w:r>
              <w:rPr>
                <w:color w:val="000000"/>
                <w:sz w:val="20"/>
                <w:szCs w:val="20"/>
              </w:rPr>
              <w:t>Ouverture comm. (%)</w:t>
            </w:r>
          </w:p>
        </w:tc>
        <w:tc>
          <w:tcPr>
            <w:tcW w:w="105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9DFBE21" w14:textId="77777777" w:rsidR="0091213F" w:rsidRDefault="00000000">
            <w:r>
              <w:rPr>
                <w:color w:val="000000"/>
                <w:sz w:val="20"/>
                <w:szCs w:val="20"/>
              </w:rPr>
              <w:t>62,37</w:t>
            </w:r>
          </w:p>
        </w:tc>
        <w:tc>
          <w:tcPr>
            <w:tcW w:w="105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78DE0E4" w14:textId="77777777" w:rsidR="0091213F" w:rsidRDefault="00000000">
            <w:r>
              <w:rPr>
                <w:color w:val="000000"/>
                <w:sz w:val="20"/>
                <w:szCs w:val="20"/>
              </w:rPr>
              <w:t>27,10</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8F949B2" w14:textId="77777777" w:rsidR="0091213F" w:rsidRDefault="00000000">
            <w:r>
              <w:rPr>
                <w:color w:val="000000"/>
                <w:sz w:val="20"/>
                <w:szCs w:val="20"/>
              </w:rPr>
              <w:t>2,70</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E8CF459" w14:textId="77777777" w:rsidR="0091213F" w:rsidRDefault="00000000">
            <w:r>
              <w:rPr>
                <w:color w:val="000000"/>
                <w:sz w:val="20"/>
                <w:szCs w:val="20"/>
              </w:rPr>
              <w:t>58,39</w:t>
            </w:r>
          </w:p>
        </w:tc>
        <w:tc>
          <w:tcPr>
            <w:tcW w:w="12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086ED7F" w14:textId="77777777" w:rsidR="0091213F" w:rsidRDefault="00000000">
            <w:r>
              <w:rPr>
                <w:color w:val="000000"/>
                <w:sz w:val="20"/>
                <w:szCs w:val="20"/>
              </w:rPr>
              <w:t>156,86</w:t>
            </w:r>
          </w:p>
        </w:tc>
      </w:tr>
      <w:tr w:rsidR="0091213F" w14:paraId="35106A80" w14:textId="77777777">
        <w:tc>
          <w:tcPr>
            <w:tcW w:w="2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C216E76" w14:textId="77777777" w:rsidR="0091213F" w:rsidRDefault="00000000">
            <w:r>
              <w:rPr>
                <w:color w:val="000000"/>
                <w:sz w:val="20"/>
                <w:szCs w:val="20"/>
              </w:rPr>
              <w:t>Gouvernance WGI</w:t>
            </w:r>
          </w:p>
        </w:tc>
        <w:tc>
          <w:tcPr>
            <w:tcW w:w="105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997A4FE" w14:textId="77777777" w:rsidR="0091213F" w:rsidRDefault="00000000">
            <w:r>
              <w:rPr>
                <w:color w:val="000000"/>
                <w:sz w:val="20"/>
                <w:szCs w:val="20"/>
              </w:rPr>
              <w:t>−0,645</w:t>
            </w:r>
          </w:p>
        </w:tc>
        <w:tc>
          <w:tcPr>
            <w:tcW w:w="105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9A1957E" w14:textId="77777777" w:rsidR="0091213F" w:rsidRDefault="00000000">
            <w:r>
              <w:rPr>
                <w:color w:val="000000"/>
                <w:sz w:val="20"/>
                <w:szCs w:val="20"/>
              </w:rPr>
              <w:t>0,474</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6F0C7DC" w14:textId="77777777" w:rsidR="0091213F" w:rsidRDefault="00000000">
            <w:r>
              <w:rPr>
                <w:color w:val="000000"/>
                <w:sz w:val="20"/>
                <w:szCs w:val="20"/>
              </w:rPr>
              <w:t>−1,676</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E300888" w14:textId="77777777" w:rsidR="0091213F" w:rsidRDefault="00000000">
            <w:r>
              <w:rPr>
                <w:color w:val="000000"/>
                <w:sz w:val="20"/>
                <w:szCs w:val="20"/>
              </w:rPr>
              <w:t>−0,642</w:t>
            </w:r>
          </w:p>
        </w:tc>
        <w:tc>
          <w:tcPr>
            <w:tcW w:w="12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3C4196F" w14:textId="77777777" w:rsidR="0091213F" w:rsidRDefault="00000000">
            <w:r>
              <w:rPr>
                <w:color w:val="000000"/>
                <w:sz w:val="20"/>
                <w:szCs w:val="20"/>
              </w:rPr>
              <w:t>+0,401</w:t>
            </w:r>
          </w:p>
        </w:tc>
      </w:tr>
      <w:tr w:rsidR="0091213F" w14:paraId="54853F45" w14:textId="77777777">
        <w:tc>
          <w:tcPr>
            <w:tcW w:w="2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1D28CA9" w14:textId="77777777" w:rsidR="0091213F" w:rsidRDefault="00000000">
            <w:r>
              <w:rPr>
                <w:color w:val="000000"/>
                <w:sz w:val="20"/>
                <w:szCs w:val="20"/>
              </w:rPr>
              <w:t>Dév. financier (% PIB)</w:t>
            </w:r>
          </w:p>
        </w:tc>
        <w:tc>
          <w:tcPr>
            <w:tcW w:w="105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56B1945" w14:textId="77777777" w:rsidR="0091213F" w:rsidRDefault="00000000">
            <w:r>
              <w:rPr>
                <w:color w:val="000000"/>
                <w:sz w:val="20"/>
                <w:szCs w:val="20"/>
              </w:rPr>
              <w:t>28,82</w:t>
            </w:r>
          </w:p>
        </w:tc>
        <w:tc>
          <w:tcPr>
            <w:tcW w:w="105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8B538CB" w14:textId="77777777" w:rsidR="0091213F" w:rsidRDefault="00000000">
            <w:r>
              <w:rPr>
                <w:color w:val="000000"/>
                <w:sz w:val="20"/>
                <w:szCs w:val="20"/>
              </w:rPr>
              <w:t>30,15</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B509D95" w14:textId="77777777" w:rsidR="0091213F" w:rsidRDefault="00000000">
            <w:r>
              <w:rPr>
                <w:color w:val="000000"/>
                <w:sz w:val="20"/>
                <w:szCs w:val="20"/>
              </w:rPr>
              <w:t>2,01</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EBA552B" w14:textId="77777777" w:rsidR="0091213F" w:rsidRDefault="00000000">
            <w:r>
              <w:rPr>
                <w:color w:val="000000"/>
                <w:sz w:val="20"/>
                <w:szCs w:val="20"/>
              </w:rPr>
              <w:t>15,63</w:t>
            </w:r>
          </w:p>
        </w:tc>
        <w:tc>
          <w:tcPr>
            <w:tcW w:w="12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D6205CD" w14:textId="77777777" w:rsidR="0091213F" w:rsidRDefault="00000000">
            <w:r>
              <w:rPr>
                <w:color w:val="000000"/>
                <w:sz w:val="20"/>
                <w:szCs w:val="20"/>
              </w:rPr>
              <w:t>142,42</w:t>
            </w:r>
          </w:p>
        </w:tc>
      </w:tr>
      <w:tr w:rsidR="0091213F" w14:paraId="62131AF4" w14:textId="77777777">
        <w:tc>
          <w:tcPr>
            <w:tcW w:w="2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6D923F1" w14:textId="77777777" w:rsidR="0091213F" w:rsidRDefault="00000000">
            <w:r>
              <w:rPr>
                <w:color w:val="000000"/>
                <w:sz w:val="20"/>
                <w:szCs w:val="20"/>
              </w:rPr>
              <w:t>Solde courant (% PIB)</w:t>
            </w:r>
          </w:p>
        </w:tc>
        <w:tc>
          <w:tcPr>
            <w:tcW w:w="105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344A148" w14:textId="77777777" w:rsidR="0091213F" w:rsidRDefault="00000000">
            <w:r>
              <w:rPr>
                <w:color w:val="000000"/>
                <w:sz w:val="20"/>
                <w:szCs w:val="20"/>
              </w:rPr>
              <w:t>−3,261</w:t>
            </w:r>
          </w:p>
        </w:tc>
        <w:tc>
          <w:tcPr>
            <w:tcW w:w="105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AEBFAA2" w14:textId="77777777" w:rsidR="0091213F" w:rsidRDefault="00000000">
            <w:r>
              <w:rPr>
                <w:color w:val="000000"/>
                <w:sz w:val="20"/>
                <w:szCs w:val="20"/>
              </w:rPr>
              <w:t>10,15</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9FAEA85" w14:textId="77777777" w:rsidR="0091213F" w:rsidRDefault="00000000">
            <w:r>
              <w:rPr>
                <w:color w:val="000000"/>
                <w:sz w:val="20"/>
                <w:szCs w:val="20"/>
              </w:rPr>
              <w:t>−33,72</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A03F011" w14:textId="77777777" w:rsidR="0091213F" w:rsidRDefault="00000000">
            <w:r>
              <w:rPr>
                <w:color w:val="000000"/>
                <w:sz w:val="20"/>
                <w:szCs w:val="20"/>
              </w:rPr>
              <w:t>−3,746</w:t>
            </w:r>
          </w:p>
        </w:tc>
        <w:tc>
          <w:tcPr>
            <w:tcW w:w="12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41DB0C3" w14:textId="77777777" w:rsidR="0091213F" w:rsidRDefault="00000000">
            <w:r>
              <w:rPr>
                <w:color w:val="000000"/>
                <w:sz w:val="20"/>
                <w:szCs w:val="20"/>
              </w:rPr>
              <w:t>+24,59</w:t>
            </w:r>
          </w:p>
        </w:tc>
      </w:tr>
      <w:tr w:rsidR="0091213F" w14:paraId="7829F2C3" w14:textId="77777777">
        <w:tc>
          <w:tcPr>
            <w:tcW w:w="2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1FDF4FC" w14:textId="77777777" w:rsidR="0091213F" w:rsidRDefault="00000000">
            <w:r>
              <w:rPr>
                <w:color w:val="000000"/>
                <w:sz w:val="20"/>
                <w:szCs w:val="20"/>
              </w:rPr>
              <w:t>Dette ext. (% GNI)</w:t>
            </w:r>
          </w:p>
        </w:tc>
        <w:tc>
          <w:tcPr>
            <w:tcW w:w="105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6AC2211" w14:textId="77777777" w:rsidR="0091213F" w:rsidRDefault="00000000">
            <w:r>
              <w:rPr>
                <w:color w:val="000000"/>
                <w:sz w:val="20"/>
                <w:szCs w:val="20"/>
              </w:rPr>
              <w:t>63,81</w:t>
            </w:r>
          </w:p>
        </w:tc>
        <w:tc>
          <w:tcPr>
            <w:tcW w:w="105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4A3BAB2" w14:textId="77777777" w:rsidR="0091213F" w:rsidRDefault="00000000">
            <w:r>
              <w:rPr>
                <w:color w:val="000000"/>
                <w:sz w:val="20"/>
                <w:szCs w:val="20"/>
              </w:rPr>
              <w:t>68,02</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383E144F" w14:textId="77777777" w:rsidR="0091213F" w:rsidRDefault="00000000">
            <w:r>
              <w:rPr>
                <w:color w:val="000000"/>
                <w:sz w:val="20"/>
                <w:szCs w:val="20"/>
              </w:rPr>
              <w:t>2,90</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09DE5C7" w14:textId="77777777" w:rsidR="0091213F" w:rsidRDefault="00000000">
            <w:r>
              <w:rPr>
                <w:color w:val="000000"/>
                <w:sz w:val="20"/>
                <w:szCs w:val="20"/>
              </w:rPr>
              <w:t>44,36</w:t>
            </w:r>
          </w:p>
        </w:tc>
        <w:tc>
          <w:tcPr>
            <w:tcW w:w="12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484DD49" w14:textId="77777777" w:rsidR="0091213F" w:rsidRDefault="00000000">
            <w:r>
              <w:rPr>
                <w:color w:val="000000"/>
                <w:sz w:val="20"/>
                <w:szCs w:val="20"/>
              </w:rPr>
              <w:t>432,22</w:t>
            </w:r>
          </w:p>
        </w:tc>
      </w:tr>
      <w:tr w:rsidR="0091213F" w14:paraId="5EC16CAD" w14:textId="77777777">
        <w:tc>
          <w:tcPr>
            <w:tcW w:w="2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C531A59" w14:textId="77777777" w:rsidR="0091213F" w:rsidRDefault="00000000">
            <w:r>
              <w:rPr>
                <w:color w:val="000000"/>
                <w:sz w:val="20"/>
                <w:szCs w:val="20"/>
              </w:rPr>
              <w:t>Réserves (mois import.)</w:t>
            </w:r>
          </w:p>
        </w:tc>
        <w:tc>
          <w:tcPr>
            <w:tcW w:w="105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B26BDBF" w14:textId="77777777" w:rsidR="0091213F" w:rsidRDefault="00000000">
            <w:r>
              <w:rPr>
                <w:color w:val="000000"/>
                <w:sz w:val="20"/>
                <w:szCs w:val="20"/>
              </w:rPr>
              <w:t>4,688</w:t>
            </w:r>
          </w:p>
        </w:tc>
        <w:tc>
          <w:tcPr>
            <w:tcW w:w="105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84A1424" w14:textId="77777777" w:rsidR="0091213F" w:rsidRDefault="00000000">
            <w:r>
              <w:rPr>
                <w:color w:val="000000"/>
                <w:sz w:val="20"/>
                <w:szCs w:val="20"/>
              </w:rPr>
              <w:t>5,319</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CF3750F" w14:textId="77777777" w:rsidR="0091213F" w:rsidRDefault="00000000">
            <w:r>
              <w:rPr>
                <w:color w:val="000000"/>
                <w:sz w:val="20"/>
                <w:szCs w:val="20"/>
              </w:rPr>
              <w:t>0,063</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2DE7AF7" w14:textId="77777777" w:rsidR="0091213F" w:rsidRDefault="00000000">
            <w:r>
              <w:rPr>
                <w:color w:val="000000"/>
                <w:sz w:val="20"/>
                <w:szCs w:val="20"/>
              </w:rPr>
              <w:t>3,598</w:t>
            </w:r>
          </w:p>
        </w:tc>
        <w:tc>
          <w:tcPr>
            <w:tcW w:w="12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C20509D" w14:textId="77777777" w:rsidR="0091213F" w:rsidRDefault="00000000">
            <w:r>
              <w:rPr>
                <w:color w:val="000000"/>
                <w:sz w:val="20"/>
                <w:szCs w:val="20"/>
              </w:rPr>
              <w:t>35,39</w:t>
            </w:r>
          </w:p>
        </w:tc>
      </w:tr>
    </w:tbl>
    <w:p w14:paraId="3D731A4A" w14:textId="77777777" w:rsidR="0091213F" w:rsidRDefault="00000000">
      <w:pPr>
        <w:spacing w:before="80" w:after="200"/>
        <w:jc w:val="center"/>
      </w:pPr>
      <w:r>
        <w:rPr>
          <w:rFonts w:ascii="Arial" w:eastAsia="Arial" w:hAnsi="Arial" w:cs="Arial"/>
          <w:i/>
          <w:iCs/>
          <w:color w:val="6B7280"/>
          <w:sz w:val="18"/>
          <w:szCs w:val="18"/>
        </w:rPr>
        <w:t>Tableau 4.2 — Statistiques descriptives du panel réel (N=17, T=23, NT=391) Note : max inflation = 585,97 % → Zimbabwe, hyperinflation 2008. Médiane = P50.</w:t>
      </w:r>
    </w:p>
    <w:p w14:paraId="03C462E0" w14:textId="793469E6" w:rsidR="0091213F" w:rsidRDefault="00710AE3">
      <w:pPr>
        <w:pStyle w:val="Titre1"/>
        <w:pageBreakBefore/>
      </w:pPr>
      <w:bookmarkStart w:id="22" w:name="_Toc224419698"/>
      <w:r>
        <w:rPr>
          <w:color w:val="C9A84C"/>
        </w:rPr>
        <w:lastRenderedPageBreak/>
        <w:t xml:space="preserve">2.  </w:t>
      </w:r>
      <w:r>
        <w:t>Méthodologie économétrique</w:t>
      </w:r>
      <w:bookmarkEnd w:id="22"/>
    </w:p>
    <w:p w14:paraId="2011E49F" w14:textId="3A9246A7" w:rsidR="0091213F" w:rsidRDefault="00710AE3">
      <w:pPr>
        <w:pStyle w:val="Titre2"/>
      </w:pPr>
      <w:bookmarkStart w:id="23" w:name="_Toc224419699"/>
      <w:r>
        <w:t>2.1  Le modèle à données de panel</w:t>
      </w:r>
      <w:bookmarkEnd w:id="23"/>
    </w:p>
    <w:p w14:paraId="697C78E8" w14:textId="77777777" w:rsidR="0091213F" w:rsidRDefault="00000000">
      <w:pPr>
        <w:spacing w:before="120" w:after="120" w:line="290" w:lineRule="auto"/>
        <w:jc w:val="both"/>
      </w:pPr>
      <w:r>
        <w:t>L'économétrie de panel combine les dimensions individuelle (N = 17 pays) et temporelle (T = 23 ans), offrant 391 observations contre 17 pour une simple coupe transversale. L'avantage décisif est la capacité à contrôler l'hétérogénéité individuelle non observée : chaque pays possède des caractéristiques structurelles invariantes dans le temps — géographie, histoire coloniale, dotation naturelle — qui influencent ses niveaux d'IDE sans être directement mesurables. L'estimateur à effets fixes les neutralise par la transformation Within (demeaning intra-individuel).</w:t>
      </w:r>
    </w:p>
    <w:p w14:paraId="6737519E" w14:textId="77777777" w:rsidR="0091213F" w:rsidRPr="00710AE3" w:rsidRDefault="00000000">
      <w:pPr>
        <w:spacing w:before="120" w:after="120" w:line="290" w:lineRule="auto"/>
        <w:jc w:val="both"/>
        <w:rPr>
          <w:lang w:val="en-US"/>
        </w:rPr>
      </w:pPr>
      <w:r>
        <w:rPr>
          <w:lang w:val="en-US"/>
        </w:rPr>
        <w:t>Le modèle général s'écrit :</w:t>
      </w:r>
    </w:p>
    <w:p w14:paraId="50430578" w14:textId="77777777" w:rsidR="0091213F" w:rsidRPr="00710AE3" w:rsidRDefault="00000000">
      <w:pPr>
        <w:pBdr>
          <w:left w:val="single" w:sz="20" w:space="0" w:color="C9A84C"/>
        </w:pBdr>
        <w:shd w:val="clear" w:color="auto" w:fill="FDF8EE"/>
        <w:spacing w:before="200" w:after="200"/>
        <w:ind w:left="360"/>
        <w:jc w:val="center"/>
        <w:rPr>
          <w:lang w:val="en-US"/>
        </w:rPr>
      </w:pPr>
      <w:r>
        <w:rPr>
          <w:rFonts w:ascii="Courier New" w:eastAsia="Courier New" w:hAnsi="Courier New" w:cs="Courier New"/>
          <w:b/>
          <w:bCs/>
          <w:color w:val="1B3A5C"/>
          <w:sz w:val="21"/>
          <w:szCs w:val="21"/>
          <w:lang w:val="en-US"/>
        </w:rPr>
        <w:t xml:space="preserve">IDE_in_it  =  </w:t>
      </w:r>
      <w:r>
        <w:rPr>
          <w:rFonts w:ascii="Courier New" w:eastAsia="Courier New" w:hAnsi="Courier New" w:cs="Courier New"/>
          <w:b/>
          <w:bCs/>
          <w:color w:val="1B3A5C"/>
          <w:sz w:val="21"/>
          <w:szCs w:val="21"/>
        </w:rPr>
        <w:t>α</w:t>
      </w:r>
      <w:r>
        <w:rPr>
          <w:rFonts w:ascii="Courier New" w:eastAsia="Courier New" w:hAnsi="Courier New" w:cs="Courier New"/>
          <w:b/>
          <w:bCs/>
          <w:color w:val="1B3A5C"/>
          <w:sz w:val="21"/>
          <w:szCs w:val="21"/>
          <w:lang w:val="en-US"/>
        </w:rPr>
        <w:t xml:space="preserve">_i  +  </w:t>
      </w:r>
      <w:r>
        <w:rPr>
          <w:rFonts w:ascii="Courier New" w:eastAsia="Courier New" w:hAnsi="Courier New" w:cs="Courier New"/>
          <w:b/>
          <w:bCs/>
          <w:color w:val="1B3A5C"/>
          <w:sz w:val="21"/>
          <w:szCs w:val="21"/>
        </w:rPr>
        <w:t>β</w:t>
      </w:r>
      <w:r>
        <w:rPr>
          <w:rFonts w:ascii="Courier New" w:eastAsia="Courier New" w:hAnsi="Courier New" w:cs="Courier New"/>
          <w:b/>
          <w:bCs/>
          <w:color w:val="1B3A5C"/>
          <w:sz w:val="21"/>
          <w:szCs w:val="21"/>
          <w:lang w:val="en-US"/>
        </w:rPr>
        <w:t xml:space="preserve">₁·ln(PIB/hab)_it  +  </w:t>
      </w:r>
      <w:r>
        <w:rPr>
          <w:rFonts w:ascii="Courier New" w:eastAsia="Courier New" w:hAnsi="Courier New" w:cs="Courier New"/>
          <w:b/>
          <w:bCs/>
          <w:color w:val="1B3A5C"/>
          <w:sz w:val="21"/>
          <w:szCs w:val="21"/>
        </w:rPr>
        <w:t>β</w:t>
      </w:r>
      <w:r>
        <w:rPr>
          <w:rFonts w:ascii="Courier New" w:eastAsia="Courier New" w:hAnsi="Courier New" w:cs="Courier New"/>
          <w:b/>
          <w:bCs/>
          <w:color w:val="1B3A5C"/>
          <w:sz w:val="21"/>
          <w:szCs w:val="21"/>
          <w:lang w:val="en-US"/>
        </w:rPr>
        <w:t xml:space="preserve">₂·INF_it  +  </w:t>
      </w:r>
      <w:r>
        <w:rPr>
          <w:rFonts w:ascii="Courier New" w:eastAsia="Courier New" w:hAnsi="Courier New" w:cs="Courier New"/>
          <w:b/>
          <w:bCs/>
          <w:color w:val="1B3A5C"/>
          <w:sz w:val="21"/>
          <w:szCs w:val="21"/>
        </w:rPr>
        <w:t>β</w:t>
      </w:r>
      <w:r>
        <w:rPr>
          <w:rFonts w:ascii="Courier New" w:eastAsia="Courier New" w:hAnsi="Courier New" w:cs="Courier New"/>
          <w:b/>
          <w:bCs/>
          <w:color w:val="1B3A5C"/>
          <w:sz w:val="21"/>
          <w:szCs w:val="21"/>
          <w:lang w:val="en-US"/>
        </w:rPr>
        <w:t xml:space="preserve">₃·OUV_it           +  </w:t>
      </w:r>
      <w:r>
        <w:rPr>
          <w:rFonts w:ascii="Courier New" w:eastAsia="Courier New" w:hAnsi="Courier New" w:cs="Courier New"/>
          <w:b/>
          <w:bCs/>
          <w:color w:val="1B3A5C"/>
          <w:sz w:val="21"/>
          <w:szCs w:val="21"/>
        </w:rPr>
        <w:t>β</w:t>
      </w:r>
      <w:r>
        <w:rPr>
          <w:rFonts w:ascii="Courier New" w:eastAsia="Courier New" w:hAnsi="Courier New" w:cs="Courier New"/>
          <w:b/>
          <w:bCs/>
          <w:color w:val="1B3A5C"/>
          <w:sz w:val="21"/>
          <w:szCs w:val="21"/>
          <w:lang w:val="en-US"/>
        </w:rPr>
        <w:t xml:space="preserve">₄·GOUV_it  +  </w:t>
      </w:r>
      <w:r>
        <w:rPr>
          <w:rFonts w:ascii="Courier New" w:eastAsia="Courier New" w:hAnsi="Courier New" w:cs="Courier New"/>
          <w:b/>
          <w:bCs/>
          <w:color w:val="1B3A5C"/>
          <w:sz w:val="21"/>
          <w:szCs w:val="21"/>
        </w:rPr>
        <w:t>β</w:t>
      </w:r>
      <w:r>
        <w:rPr>
          <w:rFonts w:ascii="Courier New" w:eastAsia="Courier New" w:hAnsi="Courier New" w:cs="Courier New"/>
          <w:b/>
          <w:bCs/>
          <w:color w:val="1B3A5C"/>
          <w:sz w:val="21"/>
          <w:szCs w:val="21"/>
          <w:lang w:val="en-US"/>
        </w:rPr>
        <w:t xml:space="preserve">₅·ln(XRATE)_it  +  </w:t>
      </w:r>
      <w:r>
        <w:rPr>
          <w:rFonts w:ascii="Courier New" w:eastAsia="Courier New" w:hAnsi="Courier New" w:cs="Courier New"/>
          <w:b/>
          <w:bCs/>
          <w:color w:val="1B3A5C"/>
          <w:sz w:val="21"/>
          <w:szCs w:val="21"/>
        </w:rPr>
        <w:t>β</w:t>
      </w:r>
      <w:r>
        <w:rPr>
          <w:rFonts w:ascii="Courier New" w:eastAsia="Courier New" w:hAnsi="Courier New" w:cs="Courier New"/>
          <w:b/>
          <w:bCs/>
          <w:color w:val="1B3A5C"/>
          <w:sz w:val="21"/>
          <w:szCs w:val="21"/>
          <w:lang w:val="en-US"/>
        </w:rPr>
        <w:t xml:space="preserve">₆·DEV_FIN_it           +  </w:t>
      </w:r>
      <w:r>
        <w:rPr>
          <w:rFonts w:ascii="Courier New" w:eastAsia="Courier New" w:hAnsi="Courier New" w:cs="Courier New"/>
          <w:b/>
          <w:bCs/>
          <w:color w:val="1B3A5C"/>
          <w:sz w:val="21"/>
          <w:szCs w:val="21"/>
        </w:rPr>
        <w:t>β</w:t>
      </w:r>
      <w:r>
        <w:rPr>
          <w:rFonts w:ascii="Courier New" w:eastAsia="Courier New" w:hAnsi="Courier New" w:cs="Courier New"/>
          <w:b/>
          <w:bCs/>
          <w:color w:val="1B3A5C"/>
          <w:sz w:val="21"/>
          <w:szCs w:val="21"/>
          <w:lang w:val="en-US"/>
        </w:rPr>
        <w:t xml:space="preserve">₇·CC_it  +  </w:t>
      </w:r>
      <w:r>
        <w:rPr>
          <w:rFonts w:ascii="Courier New" w:eastAsia="Courier New" w:hAnsi="Courier New" w:cs="Courier New"/>
          <w:b/>
          <w:bCs/>
          <w:color w:val="1B3A5C"/>
          <w:sz w:val="21"/>
          <w:szCs w:val="21"/>
        </w:rPr>
        <w:t>β</w:t>
      </w:r>
      <w:r>
        <w:rPr>
          <w:rFonts w:ascii="Courier New" w:eastAsia="Courier New" w:hAnsi="Courier New" w:cs="Courier New"/>
          <w:b/>
          <w:bCs/>
          <w:color w:val="1B3A5C"/>
          <w:sz w:val="21"/>
          <w:szCs w:val="21"/>
          <w:lang w:val="en-US"/>
        </w:rPr>
        <w:t xml:space="preserve">₈·DETTE_it  +  </w:t>
      </w:r>
      <w:r>
        <w:rPr>
          <w:rFonts w:ascii="Courier New" w:eastAsia="Courier New" w:hAnsi="Courier New" w:cs="Courier New"/>
          <w:b/>
          <w:bCs/>
          <w:color w:val="1B3A5C"/>
          <w:sz w:val="21"/>
          <w:szCs w:val="21"/>
        </w:rPr>
        <w:t>β</w:t>
      </w:r>
      <w:r>
        <w:rPr>
          <w:rFonts w:ascii="Courier New" w:eastAsia="Courier New" w:hAnsi="Courier New" w:cs="Courier New"/>
          <w:b/>
          <w:bCs/>
          <w:color w:val="1B3A5C"/>
          <w:sz w:val="21"/>
          <w:szCs w:val="21"/>
          <w:lang w:val="en-US"/>
        </w:rPr>
        <w:t xml:space="preserve">₉·RES_it  +  </w:t>
      </w:r>
      <w:r>
        <w:rPr>
          <w:rFonts w:ascii="Courier New" w:eastAsia="Courier New" w:hAnsi="Courier New" w:cs="Courier New"/>
          <w:b/>
          <w:bCs/>
          <w:color w:val="1B3A5C"/>
          <w:sz w:val="21"/>
          <w:szCs w:val="21"/>
        </w:rPr>
        <w:t>ε</w:t>
      </w:r>
      <w:r>
        <w:rPr>
          <w:rFonts w:ascii="Courier New" w:eastAsia="Courier New" w:hAnsi="Courier New" w:cs="Courier New"/>
          <w:b/>
          <w:bCs/>
          <w:color w:val="1B3A5C"/>
          <w:sz w:val="21"/>
          <w:szCs w:val="21"/>
          <w:lang w:val="en-US"/>
        </w:rPr>
        <w:t>_it</w:t>
      </w:r>
    </w:p>
    <w:p w14:paraId="3635BC17" w14:textId="77777777" w:rsidR="0091213F" w:rsidRDefault="00000000">
      <w:pPr>
        <w:spacing w:before="120" w:after="120" w:line="290" w:lineRule="auto"/>
        <w:jc w:val="both"/>
      </w:pPr>
      <w:r>
        <w:t>L'estimateur à effets aléatoires (GLS Swamy-Arora) effectue un quasi-demeaning avec paramètre θ = 1 − √(σ²ε / (T·σ²α + σ²ε)), estimé à θ = 0,552 dans notre modèle. Toutes les spécifications mobilisent des erreurs standard robustes à l'hétéroscédasticité (HC1 — heteroskedasticity-consistent covariance matrix de White).</w:t>
      </w:r>
    </w:p>
    <w:p w14:paraId="467D7C9F" w14:textId="4CF15428" w:rsidR="0091213F" w:rsidRDefault="00710AE3">
      <w:pPr>
        <w:pStyle w:val="Titre2"/>
      </w:pPr>
      <w:bookmarkStart w:id="24" w:name="_Toc224419700"/>
      <w:r>
        <w:t>2.2  Test de Hausman et sélection du modèle</w:t>
      </w:r>
      <w:bookmarkEnd w:id="24"/>
    </w:p>
    <w:p w14:paraId="69E3BE5E" w14:textId="175AE6C5" w:rsidR="0091213F" w:rsidRDefault="00000000" w:rsidP="00710AE3">
      <w:pPr>
        <w:spacing w:before="120" w:after="120" w:line="290" w:lineRule="auto"/>
        <w:jc w:val="both"/>
      </w:pPr>
      <w:r>
        <w:t>Le test de Hausman (1978) examine si la différence entre les estimateurs effets fixes (EF) et effets aléatoires (EA) est systématique, signalant une endogénéité des effets individuels qui rendrait EA biaisé</w:t>
      </w:r>
    </w:p>
    <w:p w14:paraId="610AF9F5" w14:textId="77777777" w:rsidR="0091213F" w:rsidRDefault="00000000">
      <w:pPr>
        <w:spacing w:before="200" w:after="80"/>
        <w:jc w:val="center"/>
      </w:pPr>
      <w:r>
        <w:rPr>
          <w:noProof/>
        </w:rPr>
        <w:drawing>
          <wp:inline distT="0" distB="0" distL="0" distR="0" wp14:anchorId="3F8D28FF" wp14:editId="256A88BE">
            <wp:extent cx="5334000" cy="2190750"/>
            <wp:effectExtent l="0" t="0" r="0" b="0"/>
            <wp:docPr id="1708885727" name="Image 170888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90750"/>
                    </a:xfrm>
                    <a:prstGeom prst="rect">
                      <a:avLst/>
                    </a:prstGeom>
                  </pic:spPr>
                </pic:pic>
              </a:graphicData>
            </a:graphic>
          </wp:inline>
        </w:drawing>
      </w:r>
    </w:p>
    <w:p w14:paraId="188EE2C7" w14:textId="034257BF" w:rsidR="00FE1938" w:rsidRPr="00FE1938" w:rsidRDefault="00000000" w:rsidP="00FE1938">
      <w:pPr>
        <w:spacing w:before="80" w:after="200"/>
        <w:jc w:val="center"/>
        <w:rPr>
          <w:rFonts w:ascii="Arial" w:eastAsia="Arial" w:hAnsi="Arial" w:cs="Arial"/>
          <w:i/>
          <w:iCs/>
          <w:color w:val="6B7280"/>
          <w:sz w:val="18"/>
          <w:szCs w:val="18"/>
        </w:rPr>
      </w:pPr>
      <w:r>
        <w:rPr>
          <w:rFonts w:ascii="Arial" w:eastAsia="Arial" w:hAnsi="Arial" w:cs="Arial"/>
          <w:i/>
          <w:iCs/>
          <w:color w:val="6B7280"/>
          <w:sz w:val="18"/>
          <w:szCs w:val="18"/>
        </w:rPr>
        <w:t>Figure 2 — Test de Hausman (droite) et décomposition du R² (gauch</w:t>
      </w:r>
      <w:bookmarkStart w:id="25" w:name="_Toc224419701"/>
      <w:r>
        <w:rPr>
          <w:rFonts w:ascii="Arial" w:eastAsia="Arial" w:hAnsi="Arial" w:cs="Arial"/>
          <w:i/>
          <w:iCs/>
          <w:color w:val="6B7280"/>
          <w:sz w:val="18"/>
          <w:szCs w:val="18"/>
        </w:rPr>
        <w:t>e)</w:t>
      </w:r>
    </w:p>
    <w:p w14:paraId="2F5DD7F8" w14:textId="77777777" w:rsidR="00FE1938" w:rsidRPr="00FE1938" w:rsidRDefault="00FE1938" w:rsidP="00FE1938"/>
    <w:p w14:paraId="15E54C71" w14:textId="0F79F445" w:rsidR="0091213F" w:rsidRDefault="00FE1938">
      <w:pPr>
        <w:pStyle w:val="Titre1"/>
        <w:pageBreakBefore/>
      </w:pPr>
      <w:r>
        <w:rPr>
          <w:color w:val="C9A84C"/>
        </w:rPr>
        <w:lastRenderedPageBreak/>
        <w:t xml:space="preserve">3.  </w:t>
      </w:r>
      <w:r>
        <w:t>Résultats — IDE entrants en Afrique</w:t>
      </w:r>
      <w:bookmarkEnd w:id="25"/>
    </w:p>
    <w:p w14:paraId="18B243A0" w14:textId="1C2E21A9" w:rsidR="0091213F" w:rsidRDefault="00FE1938">
      <w:pPr>
        <w:pStyle w:val="Titre2"/>
      </w:pPr>
      <w:bookmarkStart w:id="26" w:name="_Toc224419702"/>
      <w:r>
        <w:t>3.1  Tableau des résultats</w:t>
      </w:r>
      <w:bookmarkEnd w:id="26"/>
    </w:p>
    <w:tbl>
      <w:tblPr>
        <w:tblW w:w="9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1192"/>
        <w:gridCol w:w="963"/>
        <w:gridCol w:w="698"/>
        <w:gridCol w:w="695"/>
        <w:gridCol w:w="1574"/>
        <w:gridCol w:w="741"/>
        <w:gridCol w:w="1431"/>
      </w:tblGrid>
      <w:tr w:rsidR="0091213F" w14:paraId="7185BFED" w14:textId="77777777">
        <w:trPr>
          <w:tblHeader/>
        </w:trPr>
        <w:tc>
          <w:tcPr>
            <w:tcW w:w="19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09D909ED" w14:textId="77777777" w:rsidR="0091213F" w:rsidRDefault="00000000">
            <w:pPr>
              <w:jc w:val="center"/>
            </w:pPr>
            <w:r>
              <w:rPr>
                <w:rFonts w:ascii="Arial" w:eastAsia="Arial" w:hAnsi="Arial" w:cs="Arial"/>
                <w:b/>
                <w:bCs/>
                <w:color w:val="FFFFFF"/>
                <w:sz w:val="20"/>
                <w:szCs w:val="20"/>
              </w:rPr>
              <w:t>Variable</w:t>
            </w:r>
          </w:p>
        </w:tc>
        <w:tc>
          <w:tcPr>
            <w:tcW w:w="12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665E706F" w14:textId="77777777" w:rsidR="0091213F" w:rsidRDefault="00000000">
            <w:pPr>
              <w:jc w:val="center"/>
            </w:pPr>
            <w:r>
              <w:rPr>
                <w:rFonts w:ascii="Arial" w:eastAsia="Arial" w:hAnsi="Arial" w:cs="Arial"/>
                <w:b/>
                <w:bCs/>
                <w:color w:val="FFFFFF"/>
                <w:sz w:val="20"/>
                <w:szCs w:val="20"/>
              </w:rPr>
              <w:t>Coef. EF</w:t>
            </w:r>
          </w:p>
        </w:tc>
        <w:tc>
          <w:tcPr>
            <w:tcW w:w="9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500C3A06" w14:textId="77777777" w:rsidR="0091213F" w:rsidRDefault="00000000">
            <w:pPr>
              <w:jc w:val="center"/>
            </w:pPr>
            <w:r>
              <w:rPr>
                <w:rFonts w:ascii="Arial" w:eastAsia="Arial" w:hAnsi="Arial" w:cs="Arial"/>
                <w:b/>
                <w:bCs/>
                <w:color w:val="FFFFFF"/>
                <w:sz w:val="20"/>
                <w:szCs w:val="20"/>
              </w:rPr>
              <w:t>Std.Err.</w:t>
            </w:r>
          </w:p>
        </w:tc>
        <w:tc>
          <w:tcPr>
            <w:tcW w:w="7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001AE102" w14:textId="77777777" w:rsidR="0091213F" w:rsidRDefault="00000000">
            <w:pPr>
              <w:jc w:val="center"/>
            </w:pPr>
            <w:r>
              <w:rPr>
                <w:rFonts w:ascii="Arial" w:eastAsia="Arial" w:hAnsi="Arial" w:cs="Arial"/>
                <w:b/>
                <w:bCs/>
                <w:color w:val="FFFFFF"/>
                <w:sz w:val="20"/>
                <w:szCs w:val="20"/>
              </w:rPr>
              <w:t>p-val</w:t>
            </w:r>
          </w:p>
        </w:tc>
        <w:tc>
          <w:tcPr>
            <w:tcW w:w="7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2236C1A0" w14:textId="77777777" w:rsidR="0091213F" w:rsidRDefault="00000000">
            <w:pPr>
              <w:jc w:val="center"/>
            </w:pPr>
            <w:r>
              <w:rPr>
                <w:rFonts w:ascii="Arial" w:eastAsia="Arial" w:hAnsi="Arial" w:cs="Arial"/>
                <w:b/>
                <w:bCs/>
                <w:color w:val="FFFFFF"/>
                <w:sz w:val="20"/>
                <w:szCs w:val="20"/>
              </w:rPr>
              <w:t>Sig.</w:t>
            </w:r>
          </w:p>
        </w:tc>
        <w:tc>
          <w:tcPr>
            <w:tcW w:w="16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29AEDDEF" w14:textId="77777777" w:rsidR="0091213F" w:rsidRDefault="00000000">
            <w:pPr>
              <w:jc w:val="center"/>
            </w:pPr>
            <w:r>
              <w:rPr>
                <w:rFonts w:ascii="Arial" w:eastAsia="Arial" w:hAnsi="Arial" w:cs="Arial"/>
                <w:b/>
                <w:bCs/>
                <w:color w:val="FFFFFF"/>
                <w:sz w:val="20"/>
                <w:szCs w:val="20"/>
              </w:rPr>
              <w:t>Coef. EA</w:t>
            </w:r>
          </w:p>
        </w:tc>
        <w:tc>
          <w:tcPr>
            <w:tcW w:w="7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3484F4A3" w14:textId="77777777" w:rsidR="0091213F" w:rsidRDefault="00000000">
            <w:pPr>
              <w:jc w:val="center"/>
            </w:pPr>
            <w:r>
              <w:rPr>
                <w:rFonts w:ascii="Arial" w:eastAsia="Arial" w:hAnsi="Arial" w:cs="Arial"/>
                <w:b/>
                <w:bCs/>
                <w:color w:val="FFFFFF"/>
                <w:sz w:val="20"/>
                <w:szCs w:val="20"/>
              </w:rPr>
              <w:t>Sig. EA</w:t>
            </w:r>
          </w:p>
        </w:tc>
        <w:tc>
          <w:tcPr>
            <w:tcW w:w="1471"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6BA9F0BF" w14:textId="77777777" w:rsidR="0091213F" w:rsidRDefault="00000000">
            <w:pPr>
              <w:jc w:val="center"/>
            </w:pPr>
            <w:r>
              <w:rPr>
                <w:rFonts w:ascii="Arial" w:eastAsia="Arial" w:hAnsi="Arial" w:cs="Arial"/>
                <w:b/>
                <w:bCs/>
                <w:color w:val="FFFFFF"/>
                <w:sz w:val="20"/>
                <w:szCs w:val="20"/>
              </w:rPr>
              <w:t>Signe obs.</w:t>
            </w:r>
          </w:p>
        </w:tc>
      </w:tr>
      <w:tr w:rsidR="0091213F" w14:paraId="076BB9F0" w14:textId="77777777">
        <w:tc>
          <w:tcPr>
            <w:tcW w:w="19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320E0B5" w14:textId="77777777" w:rsidR="0091213F" w:rsidRDefault="00000000">
            <w:r>
              <w:rPr>
                <w:rFonts w:ascii="Arial" w:eastAsia="Arial" w:hAnsi="Arial" w:cs="Arial"/>
                <w:b/>
                <w:bCs/>
                <w:color w:val="000000"/>
                <w:sz w:val="20"/>
                <w:szCs w:val="20"/>
              </w:rPr>
              <w:t>ln(PIB/hab)</w:t>
            </w:r>
          </w:p>
        </w:tc>
        <w:tc>
          <w:tcPr>
            <w:tcW w:w="12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F59521A" w14:textId="77777777" w:rsidR="0091213F" w:rsidRDefault="00000000">
            <w:r>
              <w:rPr>
                <w:rFonts w:ascii="Arial" w:eastAsia="Arial" w:hAnsi="Arial" w:cs="Arial"/>
                <w:b/>
                <w:bCs/>
                <w:color w:val="2D6A4F"/>
                <w:sz w:val="20"/>
                <w:szCs w:val="20"/>
              </w:rPr>
              <w:t>+1,8244</w:t>
            </w:r>
          </w:p>
        </w:tc>
        <w:tc>
          <w:tcPr>
            <w:tcW w:w="9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0AF7AD2" w14:textId="77777777" w:rsidR="0091213F" w:rsidRDefault="00000000">
            <w:r>
              <w:rPr>
                <w:color w:val="000000"/>
                <w:sz w:val="20"/>
                <w:szCs w:val="20"/>
              </w:rPr>
              <w:t>0,520</w:t>
            </w:r>
          </w:p>
        </w:tc>
        <w:tc>
          <w:tcPr>
            <w:tcW w:w="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707C027" w14:textId="77777777" w:rsidR="0091213F" w:rsidRDefault="00000000">
            <w:r>
              <w:rPr>
                <w:color w:val="000000"/>
                <w:sz w:val="20"/>
                <w:szCs w:val="20"/>
              </w:rPr>
              <w:t>0,000</w:t>
            </w:r>
          </w:p>
        </w:tc>
        <w:tc>
          <w:tcPr>
            <w:tcW w:w="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F63675F" w14:textId="77777777" w:rsidR="0091213F" w:rsidRDefault="00000000">
            <w:r>
              <w:rPr>
                <w:rFonts w:ascii="Arial" w:eastAsia="Arial" w:hAnsi="Arial" w:cs="Arial"/>
                <w:b/>
                <w:bCs/>
                <w:color w:val="2D6A4F"/>
                <w:sz w:val="20"/>
                <w:szCs w:val="20"/>
              </w:rPr>
              <w:t>***</w:t>
            </w:r>
          </w:p>
        </w:tc>
        <w:tc>
          <w:tcPr>
            <w:tcW w:w="16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3815AC3" w14:textId="77777777" w:rsidR="0091213F" w:rsidRDefault="00000000">
            <w:r>
              <w:rPr>
                <w:color w:val="2D6A4F"/>
                <w:sz w:val="20"/>
                <w:szCs w:val="20"/>
              </w:rPr>
              <w:t>+1,5500***</w:t>
            </w:r>
          </w:p>
        </w:tc>
        <w:tc>
          <w:tcPr>
            <w:tcW w:w="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483CDF8" w14:textId="77777777" w:rsidR="0091213F" w:rsidRDefault="0091213F"/>
        </w:tc>
        <w:tc>
          <w:tcPr>
            <w:tcW w:w="14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F8188D8" w14:textId="77777777" w:rsidR="0091213F" w:rsidRDefault="00000000">
            <w:r>
              <w:rPr>
                <w:color w:val="000000"/>
                <w:sz w:val="20"/>
                <w:szCs w:val="20"/>
              </w:rPr>
              <w:t>+  ✓</w:t>
            </w:r>
          </w:p>
        </w:tc>
      </w:tr>
      <w:tr w:rsidR="0091213F" w14:paraId="5594F821" w14:textId="77777777">
        <w:tc>
          <w:tcPr>
            <w:tcW w:w="19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AC8DC24" w14:textId="77777777" w:rsidR="0091213F" w:rsidRDefault="00000000">
            <w:r>
              <w:rPr>
                <w:color w:val="000000"/>
                <w:sz w:val="20"/>
                <w:szCs w:val="20"/>
              </w:rPr>
              <w:t>Inflation (%)</w:t>
            </w:r>
          </w:p>
        </w:tc>
        <w:tc>
          <w:tcPr>
            <w:tcW w:w="12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6B23483" w14:textId="77777777" w:rsidR="0091213F" w:rsidRDefault="00000000">
            <w:r>
              <w:rPr>
                <w:color w:val="000000"/>
                <w:sz w:val="20"/>
                <w:szCs w:val="20"/>
              </w:rPr>
              <w:t>+0,0053</w:t>
            </w:r>
          </w:p>
        </w:tc>
        <w:tc>
          <w:tcPr>
            <w:tcW w:w="9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D953A7D" w14:textId="77777777" w:rsidR="0091213F" w:rsidRDefault="00000000">
            <w:r>
              <w:rPr>
                <w:color w:val="000000"/>
                <w:sz w:val="20"/>
                <w:szCs w:val="20"/>
              </w:rPr>
              <w:t>0,003</w:t>
            </w:r>
          </w:p>
        </w:tc>
        <w:tc>
          <w:tcPr>
            <w:tcW w:w="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0F1B063" w14:textId="77777777" w:rsidR="0091213F" w:rsidRDefault="00000000">
            <w:r>
              <w:rPr>
                <w:color w:val="000000"/>
                <w:sz w:val="20"/>
                <w:szCs w:val="20"/>
              </w:rPr>
              <w:t>0,078</w:t>
            </w:r>
          </w:p>
        </w:tc>
        <w:tc>
          <w:tcPr>
            <w:tcW w:w="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308C426" w14:textId="77777777" w:rsidR="0091213F" w:rsidRDefault="00000000">
            <w:r>
              <w:rPr>
                <w:color w:val="C9A84C"/>
                <w:sz w:val="20"/>
                <w:szCs w:val="20"/>
              </w:rPr>
              <w:t>*</w:t>
            </w:r>
          </w:p>
        </w:tc>
        <w:tc>
          <w:tcPr>
            <w:tcW w:w="16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25994CA" w14:textId="77777777" w:rsidR="0091213F" w:rsidRDefault="00000000">
            <w:r>
              <w:rPr>
                <w:color w:val="000000"/>
                <w:sz w:val="20"/>
                <w:szCs w:val="20"/>
              </w:rPr>
              <w:t>+0,0030</w:t>
            </w:r>
          </w:p>
        </w:tc>
        <w:tc>
          <w:tcPr>
            <w:tcW w:w="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1ADB897" w14:textId="77777777" w:rsidR="0091213F" w:rsidRDefault="0091213F"/>
        </w:tc>
        <w:tc>
          <w:tcPr>
            <w:tcW w:w="14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08F53F7" w14:textId="77777777" w:rsidR="0091213F" w:rsidRDefault="00000000">
            <w:r>
              <w:rPr>
                <w:color w:val="000000"/>
                <w:sz w:val="20"/>
                <w:szCs w:val="20"/>
              </w:rPr>
              <w:t>+ ✗</w:t>
            </w:r>
          </w:p>
        </w:tc>
      </w:tr>
      <w:tr w:rsidR="0091213F" w14:paraId="53D7A90C" w14:textId="77777777">
        <w:tc>
          <w:tcPr>
            <w:tcW w:w="19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EFFFC2E" w14:textId="77777777" w:rsidR="0091213F" w:rsidRDefault="00000000">
            <w:r>
              <w:rPr>
                <w:color w:val="000000"/>
                <w:sz w:val="20"/>
                <w:szCs w:val="20"/>
              </w:rPr>
              <w:t>Ouverture comm.</w:t>
            </w:r>
          </w:p>
        </w:tc>
        <w:tc>
          <w:tcPr>
            <w:tcW w:w="12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D7A43A8" w14:textId="77777777" w:rsidR="0091213F" w:rsidRDefault="00000000">
            <w:r>
              <w:rPr>
                <w:color w:val="000000"/>
                <w:sz w:val="20"/>
                <w:szCs w:val="20"/>
              </w:rPr>
              <w:t>+0,0558</w:t>
            </w:r>
          </w:p>
        </w:tc>
        <w:tc>
          <w:tcPr>
            <w:tcW w:w="9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68260CA" w14:textId="77777777" w:rsidR="0091213F" w:rsidRDefault="00000000">
            <w:r>
              <w:rPr>
                <w:color w:val="000000"/>
                <w:sz w:val="20"/>
                <w:szCs w:val="20"/>
              </w:rPr>
              <w:t>0,036</w:t>
            </w:r>
          </w:p>
        </w:tc>
        <w:tc>
          <w:tcPr>
            <w:tcW w:w="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2C820A4" w14:textId="77777777" w:rsidR="0091213F" w:rsidRDefault="00000000">
            <w:r>
              <w:rPr>
                <w:color w:val="000000"/>
                <w:sz w:val="20"/>
                <w:szCs w:val="20"/>
              </w:rPr>
              <w:t>0,123</w:t>
            </w:r>
          </w:p>
        </w:tc>
        <w:tc>
          <w:tcPr>
            <w:tcW w:w="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29905B3" w14:textId="77777777" w:rsidR="0091213F" w:rsidRDefault="00000000">
            <w:r>
              <w:rPr>
                <w:color w:val="000000"/>
                <w:sz w:val="20"/>
                <w:szCs w:val="20"/>
              </w:rPr>
              <w:t>n.s.</w:t>
            </w:r>
          </w:p>
        </w:tc>
        <w:tc>
          <w:tcPr>
            <w:tcW w:w="16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37C80DE" w14:textId="77777777" w:rsidR="0091213F" w:rsidRDefault="00000000">
            <w:r>
              <w:rPr>
                <w:color w:val="2D6A4F"/>
                <w:sz w:val="20"/>
                <w:szCs w:val="20"/>
              </w:rPr>
              <w:t>+0,0425**</w:t>
            </w:r>
          </w:p>
        </w:tc>
        <w:tc>
          <w:tcPr>
            <w:tcW w:w="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A687A25" w14:textId="77777777" w:rsidR="0091213F" w:rsidRDefault="0091213F"/>
        </w:tc>
        <w:tc>
          <w:tcPr>
            <w:tcW w:w="14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522D1CD" w14:textId="77777777" w:rsidR="0091213F" w:rsidRDefault="00000000">
            <w:r>
              <w:rPr>
                <w:color w:val="000000"/>
                <w:sz w:val="20"/>
                <w:szCs w:val="20"/>
              </w:rPr>
              <w:t>+  ✓</w:t>
            </w:r>
          </w:p>
        </w:tc>
      </w:tr>
      <w:tr w:rsidR="0091213F" w14:paraId="5B9AE38A" w14:textId="77777777">
        <w:tc>
          <w:tcPr>
            <w:tcW w:w="19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37D09B4" w14:textId="77777777" w:rsidR="0091213F" w:rsidRDefault="00000000">
            <w:r>
              <w:rPr>
                <w:rFonts w:ascii="Arial" w:eastAsia="Arial" w:hAnsi="Arial" w:cs="Arial"/>
                <w:b/>
                <w:bCs/>
                <w:color w:val="000000"/>
                <w:sz w:val="20"/>
                <w:szCs w:val="20"/>
              </w:rPr>
              <w:t>Gouvernance WGI</w:t>
            </w:r>
          </w:p>
        </w:tc>
        <w:tc>
          <w:tcPr>
            <w:tcW w:w="12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3EE9F7C9" w14:textId="77777777" w:rsidR="0091213F" w:rsidRDefault="00000000">
            <w:r>
              <w:rPr>
                <w:rFonts w:ascii="Arial" w:eastAsia="Arial" w:hAnsi="Arial" w:cs="Arial"/>
                <w:b/>
                <w:bCs/>
                <w:color w:val="8B3A3A"/>
                <w:sz w:val="20"/>
                <w:szCs w:val="20"/>
              </w:rPr>
              <w:t>−2,5252</w:t>
            </w:r>
          </w:p>
        </w:tc>
        <w:tc>
          <w:tcPr>
            <w:tcW w:w="9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30D3B91B" w14:textId="77777777" w:rsidR="0091213F" w:rsidRDefault="00000000">
            <w:r>
              <w:rPr>
                <w:color w:val="000000"/>
                <w:sz w:val="20"/>
                <w:szCs w:val="20"/>
              </w:rPr>
              <w:t>1,061</w:t>
            </w:r>
          </w:p>
        </w:tc>
        <w:tc>
          <w:tcPr>
            <w:tcW w:w="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571078A" w14:textId="77777777" w:rsidR="0091213F" w:rsidRDefault="00000000">
            <w:r>
              <w:rPr>
                <w:color w:val="000000"/>
                <w:sz w:val="20"/>
                <w:szCs w:val="20"/>
              </w:rPr>
              <w:t>0,017</w:t>
            </w:r>
          </w:p>
        </w:tc>
        <w:tc>
          <w:tcPr>
            <w:tcW w:w="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C3B24F5" w14:textId="77777777" w:rsidR="0091213F" w:rsidRDefault="00000000">
            <w:r>
              <w:rPr>
                <w:rFonts w:ascii="Arial" w:eastAsia="Arial" w:hAnsi="Arial" w:cs="Arial"/>
                <w:b/>
                <w:bCs/>
                <w:color w:val="8B3A3A"/>
                <w:sz w:val="20"/>
                <w:szCs w:val="20"/>
              </w:rPr>
              <w:t>**</w:t>
            </w:r>
          </w:p>
        </w:tc>
        <w:tc>
          <w:tcPr>
            <w:tcW w:w="16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4058D18" w14:textId="77777777" w:rsidR="0091213F" w:rsidRDefault="00000000">
            <w:r>
              <w:rPr>
                <w:color w:val="000000"/>
                <w:sz w:val="20"/>
                <w:szCs w:val="20"/>
              </w:rPr>
              <w:t>−0,4547</w:t>
            </w:r>
          </w:p>
        </w:tc>
        <w:tc>
          <w:tcPr>
            <w:tcW w:w="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4028D24" w14:textId="77777777" w:rsidR="0091213F" w:rsidRDefault="00000000">
            <w:r>
              <w:rPr>
                <w:color w:val="000000"/>
                <w:sz w:val="20"/>
                <w:szCs w:val="20"/>
              </w:rPr>
              <w:t>n.s.</w:t>
            </w:r>
          </w:p>
        </w:tc>
        <w:tc>
          <w:tcPr>
            <w:tcW w:w="14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0ED5320" w14:textId="77777777" w:rsidR="0091213F" w:rsidRDefault="00000000">
            <w:r>
              <w:rPr>
                <w:color w:val="000000"/>
                <w:sz w:val="20"/>
                <w:szCs w:val="20"/>
              </w:rPr>
              <w:t>−  ✗ (*)</w:t>
            </w:r>
          </w:p>
        </w:tc>
      </w:tr>
      <w:tr w:rsidR="0091213F" w14:paraId="3046BB02" w14:textId="77777777">
        <w:tc>
          <w:tcPr>
            <w:tcW w:w="19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0181B25" w14:textId="77777777" w:rsidR="0091213F" w:rsidRDefault="00000000">
            <w:r>
              <w:rPr>
                <w:rFonts w:ascii="Arial" w:eastAsia="Arial" w:hAnsi="Arial" w:cs="Arial"/>
                <w:b/>
                <w:bCs/>
                <w:color w:val="000000"/>
                <w:sz w:val="20"/>
                <w:szCs w:val="20"/>
              </w:rPr>
              <w:t>ln(Taux de change)</w:t>
            </w:r>
          </w:p>
        </w:tc>
        <w:tc>
          <w:tcPr>
            <w:tcW w:w="12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7D63781" w14:textId="77777777" w:rsidR="0091213F" w:rsidRDefault="00000000">
            <w:r>
              <w:rPr>
                <w:rFonts w:ascii="Arial" w:eastAsia="Arial" w:hAnsi="Arial" w:cs="Arial"/>
                <w:b/>
                <w:bCs/>
                <w:color w:val="8B3A3A"/>
                <w:sz w:val="20"/>
                <w:szCs w:val="20"/>
              </w:rPr>
              <w:t>−0,1002</w:t>
            </w:r>
          </w:p>
        </w:tc>
        <w:tc>
          <w:tcPr>
            <w:tcW w:w="9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01C1A45" w14:textId="77777777" w:rsidR="0091213F" w:rsidRDefault="00000000">
            <w:r>
              <w:rPr>
                <w:color w:val="000000"/>
                <w:sz w:val="20"/>
                <w:szCs w:val="20"/>
              </w:rPr>
              <w:t>0,050</w:t>
            </w:r>
          </w:p>
        </w:tc>
        <w:tc>
          <w:tcPr>
            <w:tcW w:w="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1288AB5" w14:textId="77777777" w:rsidR="0091213F" w:rsidRDefault="00000000">
            <w:r>
              <w:rPr>
                <w:color w:val="000000"/>
                <w:sz w:val="20"/>
                <w:szCs w:val="20"/>
              </w:rPr>
              <w:t>0,045</w:t>
            </w:r>
          </w:p>
        </w:tc>
        <w:tc>
          <w:tcPr>
            <w:tcW w:w="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B5DF9BA" w14:textId="77777777" w:rsidR="0091213F" w:rsidRDefault="00000000">
            <w:r>
              <w:rPr>
                <w:rFonts w:ascii="Arial" w:eastAsia="Arial" w:hAnsi="Arial" w:cs="Arial"/>
                <w:b/>
                <w:bCs/>
                <w:color w:val="8B3A3A"/>
                <w:sz w:val="20"/>
                <w:szCs w:val="20"/>
              </w:rPr>
              <w:t>**</w:t>
            </w:r>
          </w:p>
        </w:tc>
        <w:tc>
          <w:tcPr>
            <w:tcW w:w="16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F422258" w14:textId="77777777" w:rsidR="0091213F" w:rsidRDefault="00000000">
            <w:r>
              <w:rPr>
                <w:color w:val="8B3A3A"/>
                <w:sz w:val="20"/>
                <w:szCs w:val="20"/>
              </w:rPr>
              <w:t>−0,1626***</w:t>
            </w:r>
          </w:p>
        </w:tc>
        <w:tc>
          <w:tcPr>
            <w:tcW w:w="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72C78A4" w14:textId="77777777" w:rsidR="0091213F" w:rsidRDefault="0091213F"/>
        </w:tc>
        <w:tc>
          <w:tcPr>
            <w:tcW w:w="14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01CE9EB" w14:textId="77777777" w:rsidR="0091213F" w:rsidRDefault="00000000">
            <w:r>
              <w:rPr>
                <w:color w:val="000000"/>
                <w:sz w:val="20"/>
                <w:szCs w:val="20"/>
              </w:rPr>
              <w:t>−</w:t>
            </w:r>
          </w:p>
        </w:tc>
      </w:tr>
      <w:tr w:rsidR="0091213F" w14:paraId="369A7B78" w14:textId="77777777">
        <w:tc>
          <w:tcPr>
            <w:tcW w:w="19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480FF04" w14:textId="77777777" w:rsidR="0091213F" w:rsidRDefault="00000000">
            <w:r>
              <w:rPr>
                <w:color w:val="000000"/>
                <w:sz w:val="20"/>
                <w:szCs w:val="20"/>
              </w:rPr>
              <w:t>Dév. financier</w:t>
            </w:r>
          </w:p>
        </w:tc>
        <w:tc>
          <w:tcPr>
            <w:tcW w:w="12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3C3F447" w14:textId="77777777" w:rsidR="0091213F" w:rsidRDefault="00000000">
            <w:r>
              <w:rPr>
                <w:color w:val="000000"/>
                <w:sz w:val="20"/>
                <w:szCs w:val="20"/>
              </w:rPr>
              <w:t>−0,0144</w:t>
            </w:r>
          </w:p>
        </w:tc>
        <w:tc>
          <w:tcPr>
            <w:tcW w:w="9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F7F07A3" w14:textId="77777777" w:rsidR="0091213F" w:rsidRDefault="00000000">
            <w:r>
              <w:rPr>
                <w:color w:val="000000"/>
                <w:sz w:val="20"/>
                <w:szCs w:val="20"/>
              </w:rPr>
              <w:t>0,028</w:t>
            </w:r>
          </w:p>
        </w:tc>
        <w:tc>
          <w:tcPr>
            <w:tcW w:w="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754A267" w14:textId="77777777" w:rsidR="0091213F" w:rsidRDefault="00000000">
            <w:r>
              <w:rPr>
                <w:color w:val="000000"/>
                <w:sz w:val="20"/>
                <w:szCs w:val="20"/>
              </w:rPr>
              <w:t>0,618</w:t>
            </w:r>
          </w:p>
        </w:tc>
        <w:tc>
          <w:tcPr>
            <w:tcW w:w="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4E70703" w14:textId="77777777" w:rsidR="0091213F" w:rsidRDefault="00000000">
            <w:r>
              <w:rPr>
                <w:color w:val="000000"/>
                <w:sz w:val="20"/>
                <w:szCs w:val="20"/>
              </w:rPr>
              <w:t>n.s.</w:t>
            </w:r>
          </w:p>
        </w:tc>
        <w:tc>
          <w:tcPr>
            <w:tcW w:w="16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E04BD67" w14:textId="77777777" w:rsidR="0091213F" w:rsidRDefault="00000000">
            <w:r>
              <w:rPr>
                <w:color w:val="8B3A3A"/>
                <w:sz w:val="20"/>
                <w:szCs w:val="20"/>
              </w:rPr>
              <w:t>−0,0381***</w:t>
            </w:r>
          </w:p>
        </w:tc>
        <w:tc>
          <w:tcPr>
            <w:tcW w:w="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6E304EA" w14:textId="77777777" w:rsidR="0091213F" w:rsidRDefault="0091213F"/>
        </w:tc>
        <w:tc>
          <w:tcPr>
            <w:tcW w:w="14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E405F72" w14:textId="77777777" w:rsidR="0091213F" w:rsidRDefault="00000000">
            <w:r>
              <w:rPr>
                <w:color w:val="000000"/>
                <w:sz w:val="20"/>
                <w:szCs w:val="20"/>
              </w:rPr>
              <w:t>−  (*)</w:t>
            </w:r>
          </w:p>
        </w:tc>
      </w:tr>
      <w:tr w:rsidR="0091213F" w14:paraId="093EC07D" w14:textId="77777777">
        <w:tc>
          <w:tcPr>
            <w:tcW w:w="19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F7F8987" w14:textId="77777777" w:rsidR="0091213F" w:rsidRDefault="00000000">
            <w:r>
              <w:rPr>
                <w:rFonts w:ascii="Arial" w:eastAsia="Arial" w:hAnsi="Arial" w:cs="Arial"/>
                <w:b/>
                <w:bCs/>
                <w:color w:val="000000"/>
                <w:sz w:val="20"/>
                <w:szCs w:val="20"/>
              </w:rPr>
              <w:t>Solde courant</w:t>
            </w:r>
          </w:p>
        </w:tc>
        <w:tc>
          <w:tcPr>
            <w:tcW w:w="12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ACBDF34" w14:textId="77777777" w:rsidR="0091213F" w:rsidRDefault="00000000">
            <w:r>
              <w:rPr>
                <w:rFonts w:ascii="Arial" w:eastAsia="Arial" w:hAnsi="Arial" w:cs="Arial"/>
                <w:b/>
                <w:bCs/>
                <w:color w:val="8B3A3A"/>
                <w:sz w:val="20"/>
                <w:szCs w:val="20"/>
              </w:rPr>
              <w:t>−0,1589</w:t>
            </w:r>
          </w:p>
        </w:tc>
        <w:tc>
          <w:tcPr>
            <w:tcW w:w="9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A3E9B98" w14:textId="77777777" w:rsidR="0091213F" w:rsidRDefault="00000000">
            <w:r>
              <w:rPr>
                <w:color w:val="000000"/>
                <w:sz w:val="20"/>
                <w:szCs w:val="20"/>
              </w:rPr>
              <w:t>0,061</w:t>
            </w:r>
          </w:p>
        </w:tc>
        <w:tc>
          <w:tcPr>
            <w:tcW w:w="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EE3D78F" w14:textId="77777777" w:rsidR="0091213F" w:rsidRDefault="00000000">
            <w:r>
              <w:rPr>
                <w:color w:val="000000"/>
                <w:sz w:val="20"/>
                <w:szCs w:val="20"/>
              </w:rPr>
              <w:t>0,010</w:t>
            </w:r>
          </w:p>
        </w:tc>
        <w:tc>
          <w:tcPr>
            <w:tcW w:w="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5D14B69" w14:textId="77777777" w:rsidR="0091213F" w:rsidRDefault="00000000">
            <w:r>
              <w:rPr>
                <w:rFonts w:ascii="Arial" w:eastAsia="Arial" w:hAnsi="Arial" w:cs="Arial"/>
                <w:b/>
                <w:bCs/>
                <w:color w:val="8B3A3A"/>
                <w:sz w:val="20"/>
                <w:szCs w:val="20"/>
              </w:rPr>
              <w:t>**</w:t>
            </w:r>
          </w:p>
        </w:tc>
        <w:tc>
          <w:tcPr>
            <w:tcW w:w="16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946D967" w14:textId="77777777" w:rsidR="0091213F" w:rsidRDefault="00000000">
            <w:r>
              <w:rPr>
                <w:color w:val="8B3A3A"/>
                <w:sz w:val="20"/>
                <w:szCs w:val="20"/>
              </w:rPr>
              <w:t>−0,1541***</w:t>
            </w:r>
          </w:p>
        </w:tc>
        <w:tc>
          <w:tcPr>
            <w:tcW w:w="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E0F3198" w14:textId="77777777" w:rsidR="0091213F" w:rsidRDefault="0091213F"/>
        </w:tc>
        <w:tc>
          <w:tcPr>
            <w:tcW w:w="14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7EE3A47" w14:textId="77777777" w:rsidR="0091213F" w:rsidRDefault="00000000">
            <w:r>
              <w:rPr>
                <w:color w:val="000000"/>
                <w:sz w:val="20"/>
                <w:szCs w:val="20"/>
              </w:rPr>
              <w:t>−  ✓</w:t>
            </w:r>
          </w:p>
        </w:tc>
      </w:tr>
      <w:tr w:rsidR="0091213F" w14:paraId="02F89574" w14:textId="77777777">
        <w:tc>
          <w:tcPr>
            <w:tcW w:w="19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76B3747" w14:textId="77777777" w:rsidR="0091213F" w:rsidRDefault="00000000">
            <w:r>
              <w:rPr>
                <w:rFonts w:ascii="Arial" w:eastAsia="Arial" w:hAnsi="Arial" w:cs="Arial"/>
                <w:b/>
                <w:bCs/>
                <w:color w:val="000000"/>
                <w:sz w:val="20"/>
                <w:szCs w:val="20"/>
              </w:rPr>
              <w:t>Dette ext./GNI</w:t>
            </w:r>
          </w:p>
        </w:tc>
        <w:tc>
          <w:tcPr>
            <w:tcW w:w="12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7347DA6" w14:textId="77777777" w:rsidR="0091213F" w:rsidRDefault="00000000">
            <w:r>
              <w:rPr>
                <w:rFonts w:ascii="Arial" w:eastAsia="Arial" w:hAnsi="Arial" w:cs="Arial"/>
                <w:b/>
                <w:bCs/>
                <w:color w:val="2D6A4F"/>
                <w:sz w:val="20"/>
                <w:szCs w:val="20"/>
              </w:rPr>
              <w:t>+0,0149</w:t>
            </w:r>
          </w:p>
        </w:tc>
        <w:tc>
          <w:tcPr>
            <w:tcW w:w="9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33C547DC" w14:textId="77777777" w:rsidR="0091213F" w:rsidRDefault="00000000">
            <w:r>
              <w:rPr>
                <w:color w:val="000000"/>
                <w:sz w:val="20"/>
                <w:szCs w:val="20"/>
              </w:rPr>
              <w:t>0,008</w:t>
            </w:r>
          </w:p>
        </w:tc>
        <w:tc>
          <w:tcPr>
            <w:tcW w:w="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326294D2" w14:textId="77777777" w:rsidR="0091213F" w:rsidRDefault="00000000">
            <w:r>
              <w:rPr>
                <w:color w:val="000000"/>
                <w:sz w:val="20"/>
                <w:szCs w:val="20"/>
              </w:rPr>
              <w:t>0,049</w:t>
            </w:r>
          </w:p>
        </w:tc>
        <w:tc>
          <w:tcPr>
            <w:tcW w:w="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AF40439" w14:textId="77777777" w:rsidR="0091213F" w:rsidRDefault="00000000">
            <w:r>
              <w:rPr>
                <w:rFonts w:ascii="Arial" w:eastAsia="Arial" w:hAnsi="Arial" w:cs="Arial"/>
                <w:b/>
                <w:bCs/>
                <w:color w:val="2D6A4F"/>
                <w:sz w:val="20"/>
                <w:szCs w:val="20"/>
              </w:rPr>
              <w:t>**</w:t>
            </w:r>
          </w:p>
        </w:tc>
        <w:tc>
          <w:tcPr>
            <w:tcW w:w="16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E52C092" w14:textId="77777777" w:rsidR="0091213F" w:rsidRDefault="00000000">
            <w:r>
              <w:rPr>
                <w:color w:val="2D6A4F"/>
                <w:sz w:val="20"/>
                <w:szCs w:val="20"/>
              </w:rPr>
              <w:t>+0,0208**</w:t>
            </w:r>
          </w:p>
        </w:tc>
        <w:tc>
          <w:tcPr>
            <w:tcW w:w="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7B26DEA" w14:textId="77777777" w:rsidR="0091213F" w:rsidRDefault="0091213F"/>
        </w:tc>
        <w:tc>
          <w:tcPr>
            <w:tcW w:w="14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32F91C8" w14:textId="77777777" w:rsidR="0091213F" w:rsidRDefault="00000000">
            <w:r>
              <w:rPr>
                <w:color w:val="000000"/>
                <w:sz w:val="20"/>
                <w:szCs w:val="20"/>
              </w:rPr>
              <w:t>+</w:t>
            </w:r>
          </w:p>
        </w:tc>
      </w:tr>
      <w:tr w:rsidR="0091213F" w14:paraId="32507467" w14:textId="77777777">
        <w:tc>
          <w:tcPr>
            <w:tcW w:w="19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58A36EB" w14:textId="77777777" w:rsidR="0091213F" w:rsidRDefault="00000000">
            <w:r>
              <w:rPr>
                <w:rFonts w:ascii="Arial" w:eastAsia="Arial" w:hAnsi="Arial" w:cs="Arial"/>
                <w:b/>
                <w:bCs/>
                <w:color w:val="000000"/>
                <w:sz w:val="20"/>
                <w:szCs w:val="20"/>
              </w:rPr>
              <w:t>Réserves</w:t>
            </w:r>
          </w:p>
        </w:tc>
        <w:tc>
          <w:tcPr>
            <w:tcW w:w="12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2699C8D" w14:textId="77777777" w:rsidR="0091213F" w:rsidRDefault="00000000">
            <w:r>
              <w:rPr>
                <w:rFonts w:ascii="Arial" w:eastAsia="Arial" w:hAnsi="Arial" w:cs="Arial"/>
                <w:b/>
                <w:bCs/>
                <w:color w:val="2D6A4F"/>
                <w:sz w:val="20"/>
                <w:szCs w:val="20"/>
              </w:rPr>
              <w:t>+0,3524</w:t>
            </w:r>
          </w:p>
        </w:tc>
        <w:tc>
          <w:tcPr>
            <w:tcW w:w="9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8A7D37E" w14:textId="77777777" w:rsidR="0091213F" w:rsidRDefault="00000000">
            <w:r>
              <w:rPr>
                <w:color w:val="000000"/>
                <w:sz w:val="20"/>
                <w:szCs w:val="20"/>
              </w:rPr>
              <w:t>0,088</w:t>
            </w:r>
          </w:p>
        </w:tc>
        <w:tc>
          <w:tcPr>
            <w:tcW w:w="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96975CB" w14:textId="77777777" w:rsidR="0091213F" w:rsidRDefault="00000000">
            <w:r>
              <w:rPr>
                <w:color w:val="000000"/>
                <w:sz w:val="20"/>
                <w:szCs w:val="20"/>
              </w:rPr>
              <w:t>0,000</w:t>
            </w:r>
          </w:p>
        </w:tc>
        <w:tc>
          <w:tcPr>
            <w:tcW w:w="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DD8D19A" w14:textId="77777777" w:rsidR="0091213F" w:rsidRDefault="00000000">
            <w:r>
              <w:rPr>
                <w:rFonts w:ascii="Arial" w:eastAsia="Arial" w:hAnsi="Arial" w:cs="Arial"/>
                <w:b/>
                <w:bCs/>
                <w:color w:val="2D6A4F"/>
                <w:sz w:val="20"/>
                <w:szCs w:val="20"/>
              </w:rPr>
              <w:t>***</w:t>
            </w:r>
          </w:p>
        </w:tc>
        <w:tc>
          <w:tcPr>
            <w:tcW w:w="16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1EDC728" w14:textId="77777777" w:rsidR="0091213F" w:rsidRDefault="00000000">
            <w:r>
              <w:rPr>
                <w:color w:val="000000"/>
                <w:sz w:val="20"/>
                <w:szCs w:val="20"/>
              </w:rPr>
              <w:t>+0,1075*</w:t>
            </w:r>
          </w:p>
        </w:tc>
        <w:tc>
          <w:tcPr>
            <w:tcW w:w="7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9FE0493" w14:textId="77777777" w:rsidR="0091213F" w:rsidRDefault="0091213F"/>
        </w:tc>
        <w:tc>
          <w:tcPr>
            <w:tcW w:w="14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1025A56" w14:textId="77777777" w:rsidR="0091213F" w:rsidRDefault="00000000">
            <w:r>
              <w:rPr>
                <w:color w:val="000000"/>
                <w:sz w:val="20"/>
                <w:szCs w:val="20"/>
              </w:rPr>
              <w:t>+  ✓</w:t>
            </w:r>
          </w:p>
        </w:tc>
      </w:tr>
      <w:tr w:rsidR="0091213F" w14:paraId="35F5BFAF" w14:textId="77777777">
        <w:tc>
          <w:tcPr>
            <w:tcW w:w="19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38E611E" w14:textId="77777777" w:rsidR="0091213F" w:rsidRDefault="00000000">
            <w:r>
              <w:rPr>
                <w:rFonts w:ascii="Arial" w:eastAsia="Arial" w:hAnsi="Arial" w:cs="Arial"/>
                <w:b/>
                <w:bCs/>
                <w:color w:val="000000"/>
                <w:sz w:val="20"/>
                <w:szCs w:val="20"/>
              </w:rPr>
              <w:t>R² Within = 0,2034</w:t>
            </w:r>
          </w:p>
        </w:tc>
        <w:tc>
          <w:tcPr>
            <w:tcW w:w="12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830A39A" w14:textId="77777777" w:rsidR="0091213F" w:rsidRDefault="00000000">
            <w:r>
              <w:rPr>
                <w:rFonts w:ascii="Arial" w:eastAsia="Arial" w:hAnsi="Arial" w:cs="Arial"/>
                <w:b/>
                <w:bCs/>
                <w:color w:val="000000"/>
                <w:sz w:val="20"/>
                <w:szCs w:val="20"/>
              </w:rPr>
              <w:t>R² Between = 0,8610</w:t>
            </w:r>
          </w:p>
        </w:tc>
        <w:tc>
          <w:tcPr>
            <w:tcW w:w="9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D010D69" w14:textId="77777777" w:rsidR="0091213F" w:rsidRDefault="00000000">
            <w:r>
              <w:rPr>
                <w:color w:val="000000"/>
                <w:sz w:val="20"/>
                <w:szCs w:val="20"/>
              </w:rPr>
              <w:t>θ = 0,552</w:t>
            </w:r>
          </w:p>
        </w:tc>
        <w:tc>
          <w:tcPr>
            <w:tcW w:w="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C6C2D0A" w14:textId="77777777" w:rsidR="0091213F" w:rsidRDefault="00000000">
            <w:r>
              <w:rPr>
                <w:color w:val="000000"/>
                <w:sz w:val="20"/>
                <w:szCs w:val="20"/>
              </w:rPr>
              <w:t>Obs. = 391</w:t>
            </w:r>
          </w:p>
        </w:tc>
        <w:tc>
          <w:tcPr>
            <w:tcW w:w="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D08C5CD" w14:textId="77777777" w:rsidR="0091213F" w:rsidRDefault="0091213F"/>
        </w:tc>
        <w:tc>
          <w:tcPr>
            <w:tcW w:w="16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4993C44" w14:textId="77777777" w:rsidR="0091213F" w:rsidRDefault="00000000">
            <w:r>
              <w:rPr>
                <w:color w:val="000000"/>
                <w:sz w:val="20"/>
                <w:szCs w:val="20"/>
              </w:rPr>
              <w:t>Hausman</w:t>
            </w:r>
          </w:p>
        </w:tc>
        <w:tc>
          <w:tcPr>
            <w:tcW w:w="7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5A9BAAC" w14:textId="77777777" w:rsidR="0091213F" w:rsidRDefault="00000000">
            <w:r>
              <w:rPr>
                <w:rFonts w:ascii="Arial" w:eastAsia="Arial" w:hAnsi="Arial" w:cs="Arial"/>
                <w:b/>
                <w:bCs/>
                <w:color w:val="8B3A3A"/>
                <w:sz w:val="20"/>
                <w:szCs w:val="20"/>
              </w:rPr>
              <w:t>p = 0,014</w:t>
            </w:r>
          </w:p>
        </w:tc>
        <w:tc>
          <w:tcPr>
            <w:tcW w:w="14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B6B1447" w14:textId="77777777" w:rsidR="0091213F" w:rsidRDefault="00000000">
            <w:r>
              <w:rPr>
                <w:rFonts w:ascii="Arial" w:eastAsia="Arial" w:hAnsi="Arial" w:cs="Arial"/>
                <w:b/>
                <w:bCs/>
                <w:color w:val="000000"/>
                <w:sz w:val="20"/>
                <w:szCs w:val="20"/>
              </w:rPr>
              <w:t>→ EF</w:t>
            </w:r>
          </w:p>
        </w:tc>
      </w:tr>
    </w:tbl>
    <w:p w14:paraId="2FC778E3" w14:textId="77777777" w:rsidR="0091213F" w:rsidRDefault="00000000">
      <w:pPr>
        <w:spacing w:before="80" w:after="200"/>
        <w:jc w:val="center"/>
      </w:pPr>
      <w:r>
        <w:rPr>
          <w:rFonts w:ascii="Arial" w:eastAsia="Arial" w:hAnsi="Arial" w:cs="Arial"/>
          <w:i/>
          <w:iCs/>
          <w:color w:val="6B7280"/>
          <w:sz w:val="18"/>
          <w:szCs w:val="18"/>
        </w:rPr>
        <w:t>Tableau 6.1 — Résultats EF vs EA (données réelles WDI/WGI, 17 pays × 23 ans) *** p&lt;0,01  ** p&lt;0,05  * p&lt;0,10  n.s. non significatif  (*) signe discuté infra  |  Erreurs HC1 robustes</w:t>
      </w:r>
    </w:p>
    <w:p w14:paraId="12756DEA" w14:textId="77777777" w:rsidR="0091213F" w:rsidRDefault="00000000">
      <w:pPr>
        <w:spacing w:before="200" w:after="80"/>
        <w:jc w:val="center"/>
      </w:pPr>
      <w:r>
        <w:rPr>
          <w:noProof/>
        </w:rPr>
        <w:drawing>
          <wp:inline distT="0" distB="0" distL="0" distR="0" wp14:anchorId="030CAD28" wp14:editId="185B79A0">
            <wp:extent cx="5286375" cy="3048000"/>
            <wp:effectExtent l="0" t="0" r="0" b="0"/>
            <wp:docPr id="1734656884" name="Image 173465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86375" cy="3048000"/>
                    </a:xfrm>
                    <a:prstGeom prst="rect">
                      <a:avLst/>
                    </a:prstGeom>
                  </pic:spPr>
                </pic:pic>
              </a:graphicData>
            </a:graphic>
          </wp:inline>
        </w:drawing>
      </w:r>
    </w:p>
    <w:p w14:paraId="3E066E7E" w14:textId="77777777" w:rsidR="0091213F" w:rsidRDefault="00000000">
      <w:pPr>
        <w:spacing w:before="80" w:after="200"/>
        <w:jc w:val="center"/>
      </w:pPr>
      <w:r>
        <w:rPr>
          <w:rFonts w:ascii="Arial" w:eastAsia="Arial" w:hAnsi="Arial" w:cs="Arial"/>
          <w:i/>
          <w:iCs/>
          <w:color w:val="6B7280"/>
          <w:sz w:val="18"/>
          <w:szCs w:val="18"/>
        </w:rPr>
        <w:lastRenderedPageBreak/>
        <w:t>Figure 3 — Magnitude et significativité des coefficients EF — IDE entrants en Afrique Vert = effet positif  |  Rouge = effet négatif  |  *** p&lt;0,01  ** p&lt;0,05  * p&lt;0,10</w:t>
      </w:r>
    </w:p>
    <w:p w14:paraId="17C9B25D" w14:textId="6A4675E1" w:rsidR="0091213F" w:rsidRDefault="00FE1938">
      <w:pPr>
        <w:pStyle w:val="Titre2"/>
      </w:pPr>
      <w:bookmarkStart w:id="27" w:name="_Toc224419703"/>
      <w:r>
        <w:t>3.2  Analyse des résultats : convergences et écarts avec la théorie</w:t>
      </w:r>
      <w:bookmarkEnd w:id="27"/>
    </w:p>
    <w:p w14:paraId="2FCC646A" w14:textId="77777777" w:rsidR="0091213F" w:rsidRDefault="00000000">
      <w:pPr>
        <w:pStyle w:val="Titre3"/>
      </w:pPr>
      <w:bookmarkStart w:id="28" w:name="_Toc224419704"/>
      <w:r>
        <w:t>Résultats conformes à la théorie</w:t>
      </w:r>
      <w:bookmarkEnd w:id="28"/>
    </w:p>
    <w:p w14:paraId="4F350D0D" w14:textId="77777777" w:rsidR="0091213F" w:rsidRDefault="00000000">
      <w:pPr>
        <w:spacing w:before="120" w:after="120" w:line="290" w:lineRule="auto"/>
        <w:jc w:val="both"/>
      </w:pPr>
      <w:r>
        <w:t>Trois résultats confirment les prédictions théoriques avec robustesse. Le revenu par habitant (β = +1,82 ***) valide l'effet taille de marché du paradigme OLI : un accroissement de 1 % du revenu par habitant génère une hausse de 1,82 points de pourcentage du ratio IDE/PIB, toutes choses égales par ailleurs. Ce résultat est stable dans les deux spécifications et au seuil le plus strict — c'est de loin le déterminant le plus puissant du modèle.</w:t>
      </w:r>
    </w:p>
    <w:p w14:paraId="41427DB2" w14:textId="77777777" w:rsidR="0091213F" w:rsidRDefault="00000000">
      <w:pPr>
        <w:spacing w:before="120" w:after="120" w:line="290" w:lineRule="auto"/>
        <w:jc w:val="both"/>
      </w:pPr>
      <w:r>
        <w:t>Les réserves de change (β = +0,35 ***) valident le mécanisme de signal de solvabilité externe : les pays disposant de réserves élevées rassurent les investisseurs sur leur capacité à autoriser le rapatriement des dividendes en devises. Le solde courant (β = −0,16 **) confirme l'identité de la BDP : les pays déficitaires sur le compte courant compensent ce déficit par des entrées d'IDE, mécanisme directement cohérent avec le cadre comptable développé en Partie I.</w:t>
      </w:r>
    </w:p>
    <w:p w14:paraId="2EDCE491" w14:textId="77777777" w:rsidR="0091213F" w:rsidRDefault="00000000">
      <w:pPr>
        <w:pStyle w:val="Titre3"/>
      </w:pPr>
      <w:bookmarkStart w:id="29" w:name="_Toc224419705"/>
      <w:r>
        <w:t>Résultats en écart avec la théorie : le paradoxe des ressources naturelles</w:t>
      </w:r>
      <w:bookmarkEnd w:id="29"/>
    </w:p>
    <w:p w14:paraId="6B394C6A" w14:textId="77777777" w:rsidR="0091213F" w:rsidRDefault="00000000">
      <w:pPr>
        <w:spacing w:before="120" w:after="120" w:line="290" w:lineRule="auto"/>
        <w:jc w:val="both"/>
      </w:pPr>
      <w:r>
        <w:t>Le coefficient négatif sur la gouvernance (β = −2,53 **) constitue le résultat le plus contre-intuitif. La théorie prédit un effet positif ; nos données africaines produisent l'inverse. Ce paradoxe documente un biais de composition bien identifié dans la littérature empirique africaine (Kolstad &amp; Wiig, 2011) : les pays à mauvaise gouvernance mais richement dotés en ressources extractives (Angola, Congo, Mozambique) attirent des volumes massifs d'IDE pétroliers et miniers qui ne valorisent pas la qualité institutionnelle. En effets fixes, l'estimateur capte cette corrélation intra-pays.</w:t>
      </w:r>
    </w:p>
    <w:p w14:paraId="10357220" w14:textId="77777777" w:rsidR="0091213F" w:rsidRDefault="00000000">
      <w:pPr>
        <w:pBdr>
          <w:left w:val="single" w:sz="24" w:space="0" w:color="C9A84C"/>
        </w:pBdr>
        <w:shd w:val="clear" w:color="auto" w:fill="FDF8EE"/>
        <w:spacing w:before="220" w:after="220" w:line="290" w:lineRule="auto"/>
        <w:ind w:left="480" w:right="480"/>
        <w:jc w:val="both"/>
      </w:pPr>
      <w:r>
        <w:rPr>
          <w:i/>
          <w:iCs/>
          <w:color w:val="0D1B2A"/>
        </w:rPr>
        <w:t>Ce résultat n'invalide pas la théorie — il l'affine. Il révèle que l'Afrique subsaharienne opère selon une logique IDE-ressources qui court-circuite les déterminants institutionnels habituels. Le Maroc, dépourvu de rentes extractives significatives, échappe à ce biais et attrape des IDE qui, eux, valorisent effectivement la stabilité institutionnelle.</w:t>
      </w:r>
    </w:p>
    <w:p w14:paraId="6D67F397" w14:textId="48B4DD0B" w:rsidR="0091213F" w:rsidRDefault="00FE1938">
      <w:pPr>
        <w:pStyle w:val="Titre1"/>
        <w:pageBreakBefore/>
      </w:pPr>
      <w:bookmarkStart w:id="30" w:name="_Toc224419706"/>
      <w:r>
        <w:rPr>
          <w:color w:val="C9A84C"/>
        </w:rPr>
        <w:lastRenderedPageBreak/>
        <w:t xml:space="preserve">4.  </w:t>
      </w:r>
      <w:r>
        <w:t>Résultats — IDE sortants du Maroc</w:t>
      </w:r>
      <w:bookmarkEnd w:id="30"/>
    </w:p>
    <w:p w14:paraId="47F8CA03" w14:textId="187DD402" w:rsidR="0091213F" w:rsidRDefault="00FE1938">
      <w:pPr>
        <w:pStyle w:val="Titre2"/>
      </w:pPr>
      <w:bookmarkStart w:id="31" w:name="_Toc224419707"/>
      <w:r>
        <w:t>4.1  Modèle OLS sur série temporelle</w:t>
      </w:r>
      <w:bookmarkEnd w:id="31"/>
    </w:p>
    <w:p w14:paraId="2E6AAD22" w14:textId="77777777" w:rsidR="0091213F" w:rsidRDefault="00000000">
      <w:pPr>
        <w:spacing w:before="120" w:after="120" w:line="290" w:lineRule="auto"/>
        <w:jc w:val="both"/>
      </w:pPr>
      <w:r>
        <w:t>Le deuxième modèle analyse les déterminants des IDE sortants du Maroc vers l'Afrique sur la période 2000–2022 (T = 23 observations). Il est estimé par OLS avec erreurs HC1 robustes.</w:t>
      </w:r>
    </w:p>
    <w:p w14:paraId="4D80B53C" w14:textId="77777777" w:rsidR="0091213F" w:rsidRDefault="00000000">
      <w:pPr>
        <w:spacing w:before="200" w:after="80"/>
        <w:jc w:val="center"/>
      </w:pPr>
      <w:r>
        <w:rPr>
          <w:noProof/>
        </w:rPr>
        <w:drawing>
          <wp:inline distT="0" distB="0" distL="0" distR="0" wp14:anchorId="0855BB68" wp14:editId="5C034BD0">
            <wp:extent cx="5429250" cy="2286000"/>
            <wp:effectExtent l="0" t="0" r="0" b="0"/>
            <wp:docPr id="12706306" name="Image 12706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2286000"/>
                    </a:xfrm>
                    <a:prstGeom prst="rect">
                      <a:avLst/>
                    </a:prstGeom>
                  </pic:spPr>
                </pic:pic>
              </a:graphicData>
            </a:graphic>
          </wp:inline>
        </w:drawing>
      </w:r>
    </w:p>
    <w:p w14:paraId="5DB5AE5D" w14:textId="77777777" w:rsidR="0091213F" w:rsidRDefault="00000000">
      <w:pPr>
        <w:spacing w:before="80" w:after="200"/>
        <w:jc w:val="center"/>
      </w:pPr>
      <w:r>
        <w:rPr>
          <w:rFonts w:ascii="Arial" w:eastAsia="Arial" w:hAnsi="Arial" w:cs="Arial"/>
          <w:i/>
          <w:iCs/>
          <w:color w:val="6B7280"/>
          <w:sz w:val="18"/>
          <w:szCs w:val="18"/>
        </w:rPr>
        <w:t>Figure 4 — IDE sortants du Maroc : série temporelle (gauche) et relation PIB/hab → IDE sortants (droite) La droite OLS confirme le push factor — R² = 0,58 — Source : WDI, calculs des auteurs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1274"/>
        <w:gridCol w:w="999"/>
        <w:gridCol w:w="898"/>
        <w:gridCol w:w="793"/>
        <w:gridCol w:w="3134"/>
      </w:tblGrid>
      <w:tr w:rsidR="0091213F" w14:paraId="0ECA83E3" w14:textId="77777777">
        <w:trPr>
          <w:tblHeader/>
        </w:trPr>
        <w:tc>
          <w:tcPr>
            <w:tcW w:w="20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1DEF1162" w14:textId="77777777" w:rsidR="0091213F" w:rsidRDefault="00000000">
            <w:pPr>
              <w:jc w:val="center"/>
            </w:pPr>
            <w:r>
              <w:rPr>
                <w:rFonts w:ascii="Arial" w:eastAsia="Arial" w:hAnsi="Arial" w:cs="Arial"/>
                <w:b/>
                <w:bCs/>
                <w:color w:val="FFFFFF"/>
                <w:sz w:val="20"/>
                <w:szCs w:val="20"/>
              </w:rPr>
              <w:t>Variable</w:t>
            </w:r>
          </w:p>
        </w:tc>
        <w:tc>
          <w:tcPr>
            <w:tcW w:w="12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777AB025" w14:textId="77777777" w:rsidR="0091213F" w:rsidRDefault="00000000">
            <w:pPr>
              <w:jc w:val="center"/>
            </w:pPr>
            <w:r>
              <w:rPr>
                <w:rFonts w:ascii="Arial" w:eastAsia="Arial" w:hAnsi="Arial" w:cs="Arial"/>
                <w:b/>
                <w:bCs/>
                <w:color w:val="FFFFFF"/>
                <w:sz w:val="20"/>
                <w:szCs w:val="20"/>
              </w:rPr>
              <w:t>Coefficient</w:t>
            </w:r>
          </w:p>
        </w:tc>
        <w:tc>
          <w:tcPr>
            <w:tcW w:w="10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38C46996" w14:textId="77777777" w:rsidR="0091213F" w:rsidRDefault="00000000">
            <w:pPr>
              <w:jc w:val="center"/>
            </w:pPr>
            <w:r>
              <w:rPr>
                <w:rFonts w:ascii="Arial" w:eastAsia="Arial" w:hAnsi="Arial" w:cs="Arial"/>
                <w:b/>
                <w:bCs/>
                <w:color w:val="FFFFFF"/>
                <w:sz w:val="20"/>
                <w:szCs w:val="20"/>
              </w:rPr>
              <w:t>Std.Err.</w:t>
            </w:r>
          </w:p>
        </w:tc>
        <w:tc>
          <w:tcPr>
            <w:tcW w:w="9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621379EE" w14:textId="77777777" w:rsidR="0091213F" w:rsidRDefault="00000000">
            <w:pPr>
              <w:jc w:val="center"/>
            </w:pPr>
            <w:r>
              <w:rPr>
                <w:rFonts w:ascii="Arial" w:eastAsia="Arial" w:hAnsi="Arial" w:cs="Arial"/>
                <w:b/>
                <w:bCs/>
                <w:color w:val="FFFFFF"/>
                <w:sz w:val="20"/>
                <w:szCs w:val="20"/>
              </w:rPr>
              <w:t>p-val</w:t>
            </w:r>
          </w:p>
        </w:tc>
        <w:tc>
          <w:tcPr>
            <w:tcW w:w="8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20398285" w14:textId="77777777" w:rsidR="0091213F" w:rsidRDefault="00000000">
            <w:pPr>
              <w:jc w:val="center"/>
            </w:pPr>
            <w:r>
              <w:rPr>
                <w:rFonts w:ascii="Arial" w:eastAsia="Arial" w:hAnsi="Arial" w:cs="Arial"/>
                <w:b/>
                <w:bCs/>
                <w:color w:val="FFFFFF"/>
                <w:sz w:val="20"/>
                <w:szCs w:val="20"/>
              </w:rPr>
              <w:t>Sig.</w:t>
            </w:r>
          </w:p>
        </w:tc>
        <w:tc>
          <w:tcPr>
            <w:tcW w:w="3171"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5950E0BC" w14:textId="77777777" w:rsidR="0091213F" w:rsidRDefault="00000000">
            <w:pPr>
              <w:jc w:val="center"/>
            </w:pPr>
            <w:r>
              <w:rPr>
                <w:rFonts w:ascii="Arial" w:eastAsia="Arial" w:hAnsi="Arial" w:cs="Arial"/>
                <w:b/>
                <w:bCs/>
                <w:color w:val="FFFFFF"/>
                <w:sz w:val="20"/>
                <w:szCs w:val="20"/>
              </w:rPr>
              <w:t>Interprétation économique</w:t>
            </w:r>
          </w:p>
        </w:tc>
      </w:tr>
      <w:tr w:rsidR="0091213F" w14:paraId="19DE85C0" w14:textId="77777777">
        <w:tc>
          <w:tcPr>
            <w:tcW w:w="20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A324B0C" w14:textId="77777777" w:rsidR="0091213F" w:rsidRDefault="00000000">
            <w:r>
              <w:rPr>
                <w:color w:val="000000"/>
                <w:sz w:val="20"/>
                <w:szCs w:val="20"/>
              </w:rPr>
              <w:t>Constante</w:t>
            </w:r>
          </w:p>
        </w:tc>
        <w:tc>
          <w:tcPr>
            <w:tcW w:w="12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675CBF3" w14:textId="77777777" w:rsidR="0091213F" w:rsidRDefault="00000000">
            <w:r>
              <w:rPr>
                <w:color w:val="000000"/>
                <w:sz w:val="20"/>
                <w:szCs w:val="20"/>
              </w:rPr>
              <w:t>−6,266</w:t>
            </w:r>
          </w:p>
        </w:tc>
        <w:tc>
          <w:tcPr>
            <w:tcW w:w="10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01DF2C9" w14:textId="77777777" w:rsidR="0091213F" w:rsidRDefault="00000000">
            <w:r>
              <w:rPr>
                <w:color w:val="000000"/>
                <w:sz w:val="20"/>
                <w:szCs w:val="20"/>
              </w:rPr>
              <w:t>1,683</w:t>
            </w:r>
          </w:p>
        </w:tc>
        <w:tc>
          <w:tcPr>
            <w:tcW w:w="9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7F7C3C4" w14:textId="77777777" w:rsidR="0091213F" w:rsidRDefault="00000000">
            <w:r>
              <w:rPr>
                <w:color w:val="000000"/>
                <w:sz w:val="20"/>
                <w:szCs w:val="20"/>
              </w:rPr>
              <w:t>0,002</w:t>
            </w:r>
          </w:p>
        </w:tc>
        <w:tc>
          <w:tcPr>
            <w:tcW w:w="8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71DF944" w14:textId="77777777" w:rsidR="0091213F" w:rsidRDefault="00000000">
            <w:r>
              <w:rPr>
                <w:rFonts w:ascii="Arial" w:eastAsia="Arial" w:hAnsi="Arial" w:cs="Arial"/>
                <w:b/>
                <w:bCs/>
                <w:color w:val="2D6A4F"/>
                <w:sz w:val="20"/>
                <w:szCs w:val="20"/>
              </w:rPr>
              <w:t>***</w:t>
            </w:r>
          </w:p>
        </w:tc>
        <w:tc>
          <w:tcPr>
            <w:tcW w:w="31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3F06EFB" w14:textId="77777777" w:rsidR="0091213F" w:rsidRDefault="00000000">
            <w:r>
              <w:rPr>
                <w:color w:val="000000"/>
                <w:sz w:val="20"/>
                <w:szCs w:val="20"/>
              </w:rPr>
              <w:t>—</w:t>
            </w:r>
          </w:p>
        </w:tc>
      </w:tr>
      <w:tr w:rsidR="0091213F" w14:paraId="605C2E03" w14:textId="77777777">
        <w:tc>
          <w:tcPr>
            <w:tcW w:w="20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8BDE62D" w14:textId="77777777" w:rsidR="0091213F" w:rsidRDefault="00000000">
            <w:r>
              <w:rPr>
                <w:rFonts w:ascii="Arial" w:eastAsia="Arial" w:hAnsi="Arial" w:cs="Arial"/>
                <w:b/>
                <w:bCs/>
                <w:color w:val="000000"/>
                <w:sz w:val="20"/>
                <w:szCs w:val="20"/>
              </w:rPr>
              <w:t>ln(PIB/hab)</w:t>
            </w:r>
          </w:p>
        </w:tc>
        <w:tc>
          <w:tcPr>
            <w:tcW w:w="12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8341480" w14:textId="77777777" w:rsidR="0091213F" w:rsidRDefault="00000000">
            <w:r>
              <w:rPr>
                <w:rFonts w:ascii="Arial" w:eastAsia="Arial" w:hAnsi="Arial" w:cs="Arial"/>
                <w:b/>
                <w:bCs/>
                <w:color w:val="2D6A4F"/>
                <w:sz w:val="20"/>
                <w:szCs w:val="20"/>
              </w:rPr>
              <w:t>+0,815</w:t>
            </w:r>
          </w:p>
        </w:tc>
        <w:tc>
          <w:tcPr>
            <w:tcW w:w="10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1036FA2" w14:textId="77777777" w:rsidR="0091213F" w:rsidRDefault="00000000">
            <w:r>
              <w:rPr>
                <w:color w:val="000000"/>
                <w:sz w:val="20"/>
                <w:szCs w:val="20"/>
              </w:rPr>
              <w:t>0,165</w:t>
            </w:r>
          </w:p>
        </w:tc>
        <w:tc>
          <w:tcPr>
            <w:tcW w:w="9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BDE5A83" w14:textId="77777777" w:rsidR="0091213F" w:rsidRDefault="00000000">
            <w:r>
              <w:rPr>
                <w:color w:val="000000"/>
                <w:sz w:val="20"/>
                <w:szCs w:val="20"/>
              </w:rPr>
              <w:t>0,000</w:t>
            </w:r>
          </w:p>
        </w:tc>
        <w:tc>
          <w:tcPr>
            <w:tcW w:w="8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C434A6E" w14:textId="77777777" w:rsidR="0091213F" w:rsidRDefault="00000000">
            <w:r>
              <w:rPr>
                <w:rFonts w:ascii="Arial" w:eastAsia="Arial" w:hAnsi="Arial" w:cs="Arial"/>
                <w:b/>
                <w:bCs/>
                <w:color w:val="2D6A4F"/>
                <w:sz w:val="20"/>
                <w:szCs w:val="20"/>
              </w:rPr>
              <w:t>***</w:t>
            </w:r>
          </w:p>
        </w:tc>
        <w:tc>
          <w:tcPr>
            <w:tcW w:w="31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C8B201F" w14:textId="77777777" w:rsidR="0091213F" w:rsidRDefault="00000000">
            <w:r>
              <w:rPr>
                <w:color w:val="000000"/>
                <w:sz w:val="20"/>
                <w:szCs w:val="20"/>
              </w:rPr>
              <w:t>Push factor dominant — théorie d'Uppsala</w:t>
            </w:r>
          </w:p>
        </w:tc>
      </w:tr>
      <w:tr w:rsidR="0091213F" w14:paraId="42937C70" w14:textId="77777777">
        <w:tc>
          <w:tcPr>
            <w:tcW w:w="20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B5E0062" w14:textId="77777777" w:rsidR="0091213F" w:rsidRDefault="00000000">
            <w:r>
              <w:rPr>
                <w:rFonts w:ascii="Arial" w:eastAsia="Arial" w:hAnsi="Arial" w:cs="Arial"/>
                <w:b/>
                <w:bCs/>
                <w:color w:val="000000"/>
                <w:sz w:val="20"/>
                <w:szCs w:val="20"/>
              </w:rPr>
              <w:t>Dév. financier</w:t>
            </w:r>
          </w:p>
        </w:tc>
        <w:tc>
          <w:tcPr>
            <w:tcW w:w="12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0417A87" w14:textId="77777777" w:rsidR="0091213F" w:rsidRDefault="00000000">
            <w:r>
              <w:rPr>
                <w:rFonts w:ascii="Arial" w:eastAsia="Arial" w:hAnsi="Arial" w:cs="Arial"/>
                <w:b/>
                <w:bCs/>
                <w:color w:val="8B3A3A"/>
                <w:sz w:val="20"/>
                <w:szCs w:val="20"/>
              </w:rPr>
              <w:t>−0,024</w:t>
            </w:r>
          </w:p>
        </w:tc>
        <w:tc>
          <w:tcPr>
            <w:tcW w:w="10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B067F76" w14:textId="77777777" w:rsidR="0091213F" w:rsidRDefault="00000000">
            <w:r>
              <w:rPr>
                <w:color w:val="000000"/>
                <w:sz w:val="20"/>
                <w:szCs w:val="20"/>
              </w:rPr>
              <w:t>0,009</w:t>
            </w:r>
          </w:p>
        </w:tc>
        <w:tc>
          <w:tcPr>
            <w:tcW w:w="9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354936D" w14:textId="77777777" w:rsidR="0091213F" w:rsidRDefault="00000000">
            <w:r>
              <w:rPr>
                <w:color w:val="000000"/>
                <w:sz w:val="20"/>
                <w:szCs w:val="20"/>
              </w:rPr>
              <w:t>0,011</w:t>
            </w:r>
          </w:p>
        </w:tc>
        <w:tc>
          <w:tcPr>
            <w:tcW w:w="8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EA8BA54" w14:textId="77777777" w:rsidR="0091213F" w:rsidRDefault="00000000">
            <w:r>
              <w:rPr>
                <w:rFonts w:ascii="Arial" w:eastAsia="Arial" w:hAnsi="Arial" w:cs="Arial"/>
                <w:b/>
                <w:bCs/>
                <w:color w:val="8B3A3A"/>
                <w:sz w:val="20"/>
                <w:szCs w:val="20"/>
              </w:rPr>
              <w:t>**</w:t>
            </w:r>
          </w:p>
        </w:tc>
        <w:tc>
          <w:tcPr>
            <w:tcW w:w="31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A00FA69" w14:textId="77777777" w:rsidR="0091213F" w:rsidRDefault="00000000">
            <w:r>
              <w:rPr>
                <w:color w:val="000000"/>
                <w:sz w:val="20"/>
                <w:szCs w:val="20"/>
              </w:rPr>
              <w:t>Substitution marché domestique/international</w:t>
            </w:r>
          </w:p>
        </w:tc>
      </w:tr>
      <w:tr w:rsidR="0091213F" w14:paraId="32D8C0F5" w14:textId="77777777">
        <w:tc>
          <w:tcPr>
            <w:tcW w:w="20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F19BCEA" w14:textId="77777777" w:rsidR="0091213F" w:rsidRDefault="00000000">
            <w:r>
              <w:rPr>
                <w:rFonts w:ascii="Arial" w:eastAsia="Arial" w:hAnsi="Arial" w:cs="Arial"/>
                <w:b/>
                <w:bCs/>
                <w:color w:val="000000"/>
                <w:sz w:val="20"/>
                <w:szCs w:val="20"/>
              </w:rPr>
              <w:t>ln(Taux de change)</w:t>
            </w:r>
          </w:p>
        </w:tc>
        <w:tc>
          <w:tcPr>
            <w:tcW w:w="12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97129E3" w14:textId="77777777" w:rsidR="0091213F" w:rsidRDefault="00000000">
            <w:r>
              <w:rPr>
                <w:rFonts w:ascii="Arial" w:eastAsia="Arial" w:hAnsi="Arial" w:cs="Arial"/>
                <w:b/>
                <w:bCs/>
                <w:color w:val="2D6A4F"/>
                <w:sz w:val="20"/>
                <w:szCs w:val="20"/>
              </w:rPr>
              <w:t>+0,941</w:t>
            </w:r>
          </w:p>
        </w:tc>
        <w:tc>
          <w:tcPr>
            <w:tcW w:w="10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560AAE0" w14:textId="77777777" w:rsidR="0091213F" w:rsidRDefault="00000000">
            <w:r>
              <w:rPr>
                <w:color w:val="000000"/>
                <w:sz w:val="20"/>
                <w:szCs w:val="20"/>
              </w:rPr>
              <w:t>0,461</w:t>
            </w:r>
          </w:p>
        </w:tc>
        <w:tc>
          <w:tcPr>
            <w:tcW w:w="9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888432A" w14:textId="77777777" w:rsidR="0091213F" w:rsidRDefault="00000000">
            <w:r>
              <w:rPr>
                <w:color w:val="000000"/>
                <w:sz w:val="20"/>
                <w:szCs w:val="20"/>
              </w:rPr>
              <w:t>0,056</w:t>
            </w:r>
          </w:p>
        </w:tc>
        <w:tc>
          <w:tcPr>
            <w:tcW w:w="8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E85A2C3" w14:textId="77777777" w:rsidR="0091213F" w:rsidRDefault="00000000">
            <w:r>
              <w:rPr>
                <w:color w:val="C9A84C"/>
                <w:sz w:val="20"/>
                <w:szCs w:val="20"/>
              </w:rPr>
              <w:t>*</w:t>
            </w:r>
          </w:p>
        </w:tc>
        <w:tc>
          <w:tcPr>
            <w:tcW w:w="31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7C1DA1A" w14:textId="77777777" w:rsidR="0091213F" w:rsidRDefault="00000000">
            <w:r>
              <w:rPr>
                <w:color w:val="000000"/>
                <w:sz w:val="20"/>
                <w:szCs w:val="20"/>
              </w:rPr>
              <w:t>Dépréciation → acquisitions africaines accessibles</w:t>
            </w:r>
          </w:p>
        </w:tc>
      </w:tr>
      <w:tr w:rsidR="0091213F" w14:paraId="2F32CFFE" w14:textId="77777777">
        <w:tc>
          <w:tcPr>
            <w:tcW w:w="20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06F429B" w14:textId="77777777" w:rsidR="0091213F" w:rsidRDefault="00000000">
            <w:r>
              <w:rPr>
                <w:color w:val="000000"/>
                <w:sz w:val="20"/>
                <w:szCs w:val="20"/>
              </w:rPr>
              <w:t>Réserves</w:t>
            </w:r>
          </w:p>
        </w:tc>
        <w:tc>
          <w:tcPr>
            <w:tcW w:w="12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75B18B7" w14:textId="77777777" w:rsidR="0091213F" w:rsidRDefault="00000000">
            <w:r>
              <w:rPr>
                <w:color w:val="000000"/>
                <w:sz w:val="20"/>
                <w:szCs w:val="20"/>
              </w:rPr>
              <w:t>+0,008</w:t>
            </w:r>
          </w:p>
        </w:tc>
        <w:tc>
          <w:tcPr>
            <w:tcW w:w="10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CCFE73E" w14:textId="77777777" w:rsidR="0091213F" w:rsidRDefault="00000000">
            <w:r>
              <w:rPr>
                <w:color w:val="000000"/>
                <w:sz w:val="20"/>
                <w:szCs w:val="20"/>
              </w:rPr>
              <w:t>0,025</w:t>
            </w:r>
          </w:p>
        </w:tc>
        <w:tc>
          <w:tcPr>
            <w:tcW w:w="9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EE7094B" w14:textId="77777777" w:rsidR="0091213F" w:rsidRDefault="00000000">
            <w:r>
              <w:rPr>
                <w:color w:val="000000"/>
                <w:sz w:val="20"/>
                <w:szCs w:val="20"/>
              </w:rPr>
              <w:t>0,753</w:t>
            </w:r>
          </w:p>
        </w:tc>
        <w:tc>
          <w:tcPr>
            <w:tcW w:w="8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05C5EEE" w14:textId="77777777" w:rsidR="0091213F" w:rsidRDefault="00000000">
            <w:r>
              <w:rPr>
                <w:color w:val="000000"/>
                <w:sz w:val="20"/>
                <w:szCs w:val="20"/>
              </w:rPr>
              <w:t>n.s.</w:t>
            </w:r>
          </w:p>
        </w:tc>
        <w:tc>
          <w:tcPr>
            <w:tcW w:w="31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2B2C4C0" w14:textId="77777777" w:rsidR="0091213F" w:rsidRDefault="00000000">
            <w:r>
              <w:rPr>
                <w:color w:val="000000"/>
                <w:sz w:val="20"/>
                <w:szCs w:val="20"/>
              </w:rPr>
              <w:t>Effet non significatif</w:t>
            </w:r>
          </w:p>
        </w:tc>
      </w:tr>
      <w:tr w:rsidR="0091213F" w14:paraId="4FF6B58F" w14:textId="77777777">
        <w:tc>
          <w:tcPr>
            <w:tcW w:w="20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B621FBC" w14:textId="77777777" w:rsidR="0091213F" w:rsidRDefault="00000000">
            <w:r>
              <w:rPr>
                <w:rFonts w:ascii="Arial" w:eastAsia="Arial" w:hAnsi="Arial" w:cs="Arial"/>
                <w:b/>
                <w:bCs/>
                <w:color w:val="000000"/>
                <w:sz w:val="20"/>
                <w:szCs w:val="20"/>
              </w:rPr>
              <w:t>R² = 0,580  |  R² ajusté = 0,487</w:t>
            </w:r>
          </w:p>
        </w:tc>
        <w:tc>
          <w:tcPr>
            <w:tcW w:w="12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E684EAF" w14:textId="77777777" w:rsidR="0091213F" w:rsidRDefault="0091213F"/>
        </w:tc>
        <w:tc>
          <w:tcPr>
            <w:tcW w:w="10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29F4BD1" w14:textId="77777777" w:rsidR="0091213F" w:rsidRDefault="00000000">
            <w:r>
              <w:rPr>
                <w:color w:val="000000"/>
                <w:sz w:val="20"/>
                <w:szCs w:val="20"/>
              </w:rPr>
              <w:t>F(4,18) = 6,23</w:t>
            </w:r>
          </w:p>
        </w:tc>
        <w:tc>
          <w:tcPr>
            <w:tcW w:w="9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42C6C43" w14:textId="77777777" w:rsidR="0091213F" w:rsidRDefault="00000000">
            <w:r>
              <w:rPr>
                <w:rFonts w:ascii="Arial" w:eastAsia="Arial" w:hAnsi="Arial" w:cs="Arial"/>
                <w:b/>
                <w:bCs/>
                <w:color w:val="2D6A4F"/>
                <w:sz w:val="20"/>
                <w:szCs w:val="20"/>
              </w:rPr>
              <w:t>p = 0,0025</w:t>
            </w:r>
          </w:p>
        </w:tc>
        <w:tc>
          <w:tcPr>
            <w:tcW w:w="8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7423049" w14:textId="77777777" w:rsidR="0091213F" w:rsidRDefault="0091213F"/>
        </w:tc>
        <w:tc>
          <w:tcPr>
            <w:tcW w:w="31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1435A94" w14:textId="77777777" w:rsidR="0091213F" w:rsidRDefault="00000000">
            <w:r>
              <w:rPr>
                <w:color w:val="000000"/>
                <w:sz w:val="20"/>
                <w:szCs w:val="20"/>
              </w:rPr>
              <w:t>Modèle globalement significatif</w:t>
            </w:r>
          </w:p>
        </w:tc>
      </w:tr>
    </w:tbl>
    <w:p w14:paraId="46A007F7" w14:textId="77777777" w:rsidR="0091213F" w:rsidRDefault="00000000">
      <w:pPr>
        <w:spacing w:before="80" w:after="200"/>
        <w:jc w:val="center"/>
      </w:pPr>
      <w:r>
        <w:rPr>
          <w:rFonts w:ascii="Arial" w:eastAsia="Arial" w:hAnsi="Arial" w:cs="Arial"/>
          <w:i/>
          <w:iCs/>
          <w:color w:val="6B7280"/>
          <w:sz w:val="18"/>
          <w:szCs w:val="18"/>
        </w:rPr>
        <w:t>Tableau 7.1 — IDE sortants Maroc (OLS HC1, T=23)  |  *** p&lt;0,01  ** p&lt;0,05  * p&lt;0,10</w:t>
      </w:r>
    </w:p>
    <w:p w14:paraId="045E607B" w14:textId="2C3F0C7B" w:rsidR="0091213F" w:rsidRDefault="00FE1938">
      <w:pPr>
        <w:pStyle w:val="Titre2"/>
      </w:pPr>
      <w:bookmarkStart w:id="32" w:name="_Toc224419708"/>
      <w:r>
        <w:t>4.2  Interprétation : la mécanique de l'internationalisation marocaine</w:t>
      </w:r>
      <w:bookmarkEnd w:id="32"/>
    </w:p>
    <w:p w14:paraId="33A808AE" w14:textId="77777777" w:rsidR="0091213F" w:rsidRDefault="00000000">
      <w:pPr>
        <w:spacing w:before="120" w:after="120" w:line="290" w:lineRule="auto"/>
        <w:jc w:val="both"/>
      </w:pPr>
      <w:r>
        <w:t>Le coefficient β = +0,815 (p &lt; 0,001) sur le ln(PIB/hab) confirme avec une robustesse remarquable l'hypothèse d'Uppsala : c'est la croissance du revenu intérieur qui génère les surplus d'accumulation que les grandes firmes marocaines redéploient vers l'Afrique. Chaque point de croissance du PIB marocain alimente mécaniquement l'expansion africaine d'Attijariwafa Bank, d'OCP et de BMCE.</w:t>
      </w:r>
    </w:p>
    <w:p w14:paraId="5061C550" w14:textId="77777777" w:rsidR="0091213F" w:rsidRDefault="00000000">
      <w:pPr>
        <w:spacing w:before="120" w:after="120" w:line="290" w:lineRule="auto"/>
        <w:jc w:val="both"/>
      </w:pPr>
      <w:r>
        <w:lastRenderedPageBreak/>
        <w:t>L'effet négatif du développement financier (β = −0,024 ; p = 0,011) traduit un phénomène de substitution cohérent avec la home bias documentée dans la littérature sur les flux de capitaux : un système financier domestique profond offre des rendements concurrentiels sur le marché intérieur, réduisant partiellement l'incitation à l'internationalisation. Ce résultat ne contredit pas la théorie — il nuance l'idée selon laquelle le développement financier serait inconditionnellement favorable aux IDE sortants.</w:t>
      </w:r>
    </w:p>
    <w:p w14:paraId="51DB808D" w14:textId="65A21C6A" w:rsidR="0091213F" w:rsidRDefault="00000000">
      <w:pPr>
        <w:pageBreakBefore/>
        <w:pBdr>
          <w:bottom w:val="single" w:sz="14" w:space="0" w:color="C9A84C"/>
        </w:pBdr>
        <w:spacing w:after="120"/>
      </w:pPr>
      <w:r>
        <w:rPr>
          <w:rFonts w:ascii="Arial" w:eastAsia="Arial" w:hAnsi="Arial" w:cs="Arial"/>
          <w:b/>
          <w:bCs/>
          <w:color w:val="1B3A5C"/>
          <w:sz w:val="38"/>
          <w:szCs w:val="38"/>
        </w:rPr>
        <w:lastRenderedPageBreak/>
        <w:t>PARTIE III</w:t>
      </w:r>
      <w:r>
        <w:rPr>
          <w:rFonts w:ascii="Arial" w:eastAsia="Arial" w:hAnsi="Arial" w:cs="Arial"/>
          <w:b/>
          <w:bCs/>
          <w:color w:val="2E5F8A"/>
          <w:sz w:val="38"/>
          <w:szCs w:val="38"/>
        </w:rPr>
        <w:t> : Le cas du Maroc en Afrique</w:t>
      </w:r>
    </w:p>
    <w:p w14:paraId="6CDF900A" w14:textId="77777777" w:rsidR="0091213F" w:rsidRDefault="00000000">
      <w:pPr>
        <w:spacing w:before="100" w:after="500"/>
      </w:pPr>
      <w:r>
        <w:rPr>
          <w:i/>
          <w:iCs/>
          <w:color w:val="6B7280"/>
        </w:rPr>
        <w:t>Synthèse théorie et données : profil comparatif, impact macroéconomique et stratégie de hub régional</w:t>
      </w:r>
    </w:p>
    <w:p w14:paraId="57A5C246" w14:textId="1C06BAB9" w:rsidR="0091213F" w:rsidRDefault="00FE1938">
      <w:pPr>
        <w:pStyle w:val="Titre1"/>
        <w:pageBreakBefore/>
      </w:pPr>
      <w:bookmarkStart w:id="33" w:name="_Toc224419709"/>
      <w:r>
        <w:rPr>
          <w:color w:val="C9A84C"/>
        </w:rPr>
        <w:lastRenderedPageBreak/>
        <w:t xml:space="preserve">1.  </w:t>
      </w:r>
      <w:r>
        <w:t>Profil comparatif : le Maroc face à ses pairs africains</w:t>
      </w:r>
      <w:bookmarkEnd w:id="33"/>
    </w:p>
    <w:p w14:paraId="0D1ACDFA" w14:textId="3BAB60E1" w:rsidR="0091213F" w:rsidRDefault="00FE1938">
      <w:pPr>
        <w:pStyle w:val="Titre2"/>
      </w:pPr>
      <w:bookmarkStart w:id="34" w:name="_Toc224419710"/>
      <w:r>
        <w:t>1.1  Ce que révèlent les données réelles</w:t>
      </w:r>
      <w:bookmarkEnd w:id="34"/>
    </w:p>
    <w:p w14:paraId="585C9B6D" w14:textId="77777777" w:rsidR="0091213F" w:rsidRDefault="00000000">
      <w:pPr>
        <w:spacing w:before="120" w:after="120" w:line="290" w:lineRule="auto"/>
        <w:jc w:val="both"/>
      </w:pPr>
      <w:r>
        <w:t>La confrontation des données réelles du Maroc avec la moyenne des 17 pays du panel révèle un paradoxe analytique instructif : le Maroc affiche des fondamentaux macroéconomiques et financiers supérieurs à la moyenne sur presque tous les indicateurs, mais reçoit en volume des IDE inférieurs à cette même moyenne. Comprendre ce paradoxe — et ce qu'il dit de la structure des IDE africains — est l'un des apports analytiques de ce rapport.</w:t>
      </w:r>
    </w:p>
    <w:p w14:paraId="73C399DC" w14:textId="77777777" w:rsidR="0091213F" w:rsidRDefault="00000000">
      <w:pPr>
        <w:spacing w:before="200" w:after="80"/>
        <w:jc w:val="center"/>
      </w:pPr>
      <w:r>
        <w:rPr>
          <w:noProof/>
        </w:rPr>
        <w:drawing>
          <wp:inline distT="0" distB="0" distL="0" distR="0" wp14:anchorId="05804BE6" wp14:editId="25EC6829">
            <wp:extent cx="5334000" cy="2952750"/>
            <wp:effectExtent l="0" t="0" r="0" b="0"/>
            <wp:docPr id="1413981264" name="Image 141398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52750"/>
                    </a:xfrm>
                    <a:prstGeom prst="rect">
                      <a:avLst/>
                    </a:prstGeom>
                  </pic:spPr>
                </pic:pic>
              </a:graphicData>
            </a:graphic>
          </wp:inline>
        </w:drawing>
      </w:r>
    </w:p>
    <w:p w14:paraId="31F27107" w14:textId="77777777" w:rsidR="0091213F" w:rsidRDefault="00000000">
      <w:pPr>
        <w:spacing w:before="80" w:after="200"/>
        <w:jc w:val="center"/>
      </w:pPr>
      <w:r>
        <w:rPr>
          <w:rFonts w:ascii="Arial" w:eastAsia="Arial" w:hAnsi="Arial" w:cs="Arial"/>
          <w:i/>
          <w:iCs/>
          <w:color w:val="6B7280"/>
          <w:sz w:val="18"/>
          <w:szCs w:val="18"/>
        </w:rPr>
        <w:t>Figure 5 — Classement des 17 pays du panel par IDE entrants moyens (% du PIB, 2000–2022) Source : WDI Banque Mondiale — Le Maroc (bleu foncé) se positionne sous la moyenne (ligne dorée)</w:t>
      </w:r>
    </w:p>
    <w:p w14:paraId="3CE6E6CB" w14:textId="77777777" w:rsidR="0091213F" w:rsidRDefault="00000000">
      <w:pPr>
        <w:spacing w:before="200" w:after="80"/>
        <w:jc w:val="center"/>
      </w:pPr>
      <w:r>
        <w:rPr>
          <w:noProof/>
        </w:rPr>
        <w:lastRenderedPageBreak/>
        <w:drawing>
          <wp:inline distT="0" distB="0" distL="0" distR="0" wp14:anchorId="7964A9CF" wp14:editId="25D35DE4">
            <wp:extent cx="3619500" cy="3619500"/>
            <wp:effectExtent l="0" t="0" r="0" b="0"/>
            <wp:docPr id="1303420935" name="Image 130342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3619500"/>
                    </a:xfrm>
                    <a:prstGeom prst="rect">
                      <a:avLst/>
                    </a:prstGeom>
                  </pic:spPr>
                </pic:pic>
              </a:graphicData>
            </a:graphic>
          </wp:inline>
        </w:drawing>
      </w:r>
    </w:p>
    <w:p w14:paraId="0130DE01" w14:textId="77777777" w:rsidR="0091213F" w:rsidRDefault="00000000">
      <w:pPr>
        <w:spacing w:before="80" w:after="200"/>
        <w:jc w:val="center"/>
      </w:pPr>
      <w:r>
        <w:rPr>
          <w:rFonts w:ascii="Arial" w:eastAsia="Arial" w:hAnsi="Arial" w:cs="Arial"/>
          <w:i/>
          <w:iCs/>
          <w:color w:val="6B7280"/>
          <w:sz w:val="18"/>
          <w:szCs w:val="18"/>
        </w:rPr>
        <w:t>Figure 6 — Profil comparatif normalisé Maroc vs Moyenne africaine (dimensions 0–100) Sources : WDI/WGI 2000–2022 — Le Maroc domine sur 5 des 6 dimensions</w:t>
      </w:r>
    </w:p>
    <w:p w14:paraId="4AC18130" w14:textId="77777777" w:rsidR="0091213F" w:rsidRDefault="00000000">
      <w:pPr>
        <w:spacing w:before="200" w:after="80"/>
        <w:jc w:val="center"/>
      </w:pPr>
      <w:r>
        <w:rPr>
          <w:noProof/>
        </w:rPr>
        <w:drawing>
          <wp:inline distT="0" distB="0" distL="0" distR="0" wp14:anchorId="38C5B8B0" wp14:editId="144B0F02">
            <wp:extent cx="5334000" cy="2428875"/>
            <wp:effectExtent l="0" t="0" r="0" b="0"/>
            <wp:docPr id="636274556" name="Image 63627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28875"/>
                    </a:xfrm>
                    <a:prstGeom prst="rect">
                      <a:avLst/>
                    </a:prstGeom>
                  </pic:spPr>
                </pic:pic>
              </a:graphicData>
            </a:graphic>
          </wp:inline>
        </w:drawing>
      </w:r>
    </w:p>
    <w:p w14:paraId="7C85EA72" w14:textId="77777777" w:rsidR="0091213F" w:rsidRDefault="00000000">
      <w:pPr>
        <w:spacing w:before="80" w:after="200"/>
        <w:jc w:val="center"/>
      </w:pPr>
      <w:r>
        <w:rPr>
          <w:rFonts w:ascii="Arial" w:eastAsia="Arial" w:hAnsi="Arial" w:cs="Arial"/>
          <w:i/>
          <w:iCs/>
          <w:color w:val="6B7280"/>
          <w:sz w:val="18"/>
          <w:szCs w:val="18"/>
        </w:rPr>
        <w:t>Figure 7 — Comparaison des indicateurs clés : valeurs réelles (Maroc vs Moy. africaine) Inflation, développement financier, réserves : avantages structurels marqués du Maroc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300"/>
        <w:gridCol w:w="1500"/>
        <w:gridCol w:w="1500"/>
        <w:gridCol w:w="2671"/>
      </w:tblGrid>
      <w:tr w:rsidR="0091213F" w14:paraId="18FE0838" w14:textId="77777777">
        <w:trPr>
          <w:tblHeader/>
        </w:trPr>
        <w:tc>
          <w:tcPr>
            <w:tcW w:w="21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3880252E" w14:textId="77777777" w:rsidR="0091213F" w:rsidRDefault="00000000">
            <w:pPr>
              <w:jc w:val="center"/>
            </w:pPr>
            <w:r>
              <w:rPr>
                <w:rFonts w:ascii="Arial" w:eastAsia="Arial" w:hAnsi="Arial" w:cs="Arial"/>
                <w:b/>
                <w:bCs/>
                <w:color w:val="FFFFFF"/>
                <w:sz w:val="20"/>
                <w:szCs w:val="20"/>
              </w:rPr>
              <w:t>Indicateur</w:t>
            </w:r>
          </w:p>
        </w:tc>
        <w:tc>
          <w:tcPr>
            <w:tcW w:w="13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271F22AA" w14:textId="77777777" w:rsidR="0091213F" w:rsidRDefault="00000000">
            <w:pPr>
              <w:jc w:val="center"/>
            </w:pPr>
            <w:r>
              <w:rPr>
                <w:rFonts w:ascii="Arial" w:eastAsia="Arial" w:hAnsi="Arial" w:cs="Arial"/>
                <w:b/>
                <w:bCs/>
                <w:color w:val="FFFFFF"/>
                <w:sz w:val="20"/>
                <w:szCs w:val="20"/>
              </w:rPr>
              <w:t>Maroc</w:t>
            </w:r>
          </w:p>
        </w:tc>
        <w:tc>
          <w:tcPr>
            <w:tcW w:w="15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70819C23" w14:textId="77777777" w:rsidR="0091213F" w:rsidRDefault="00000000">
            <w:pPr>
              <w:jc w:val="center"/>
            </w:pPr>
            <w:r>
              <w:rPr>
                <w:rFonts w:ascii="Arial" w:eastAsia="Arial" w:hAnsi="Arial" w:cs="Arial"/>
                <w:b/>
                <w:bCs/>
                <w:color w:val="FFFFFF"/>
                <w:sz w:val="20"/>
                <w:szCs w:val="20"/>
              </w:rPr>
              <w:t>Moy. panel</w:t>
            </w:r>
          </w:p>
        </w:tc>
        <w:tc>
          <w:tcPr>
            <w:tcW w:w="15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374FD663" w14:textId="77777777" w:rsidR="0091213F" w:rsidRDefault="00000000">
            <w:pPr>
              <w:jc w:val="center"/>
            </w:pPr>
            <w:r>
              <w:rPr>
                <w:rFonts w:ascii="Arial" w:eastAsia="Arial" w:hAnsi="Arial" w:cs="Arial"/>
                <w:b/>
                <w:bCs/>
                <w:color w:val="FFFFFF"/>
                <w:sz w:val="20"/>
                <w:szCs w:val="20"/>
              </w:rPr>
              <w:t>Différentiel</w:t>
            </w:r>
          </w:p>
        </w:tc>
        <w:tc>
          <w:tcPr>
            <w:tcW w:w="2671"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0CE06E8E" w14:textId="77777777" w:rsidR="0091213F" w:rsidRDefault="00000000">
            <w:pPr>
              <w:jc w:val="center"/>
            </w:pPr>
            <w:r>
              <w:rPr>
                <w:rFonts w:ascii="Arial" w:eastAsia="Arial" w:hAnsi="Arial" w:cs="Arial"/>
                <w:b/>
                <w:bCs/>
                <w:color w:val="FFFFFF"/>
                <w:sz w:val="20"/>
                <w:szCs w:val="20"/>
              </w:rPr>
              <w:t>Lecture analytique</w:t>
            </w:r>
          </w:p>
        </w:tc>
      </w:tr>
      <w:tr w:rsidR="0091213F" w14:paraId="7DD88288" w14:textId="77777777">
        <w:tc>
          <w:tcPr>
            <w:tcW w:w="2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48DFC85" w14:textId="77777777" w:rsidR="0091213F" w:rsidRDefault="00000000">
            <w:r>
              <w:rPr>
                <w:rFonts w:ascii="Arial" w:eastAsia="Arial" w:hAnsi="Arial" w:cs="Arial"/>
                <w:b/>
                <w:bCs/>
                <w:color w:val="000000"/>
                <w:sz w:val="20"/>
                <w:szCs w:val="20"/>
              </w:rPr>
              <w:t>IDE entrants (% PIB)</w:t>
            </w:r>
          </w:p>
        </w:tc>
        <w:tc>
          <w:tcPr>
            <w:tcW w:w="13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61D72A7" w14:textId="77777777" w:rsidR="0091213F" w:rsidRDefault="00000000">
            <w:r>
              <w:rPr>
                <w:color w:val="000000"/>
                <w:sz w:val="20"/>
                <w:szCs w:val="20"/>
              </w:rPr>
              <w:t>2,31 %</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2C43F92" w14:textId="77777777" w:rsidR="0091213F" w:rsidRDefault="00000000">
            <w:r>
              <w:rPr>
                <w:color w:val="000000"/>
                <w:sz w:val="20"/>
                <w:szCs w:val="20"/>
              </w:rPr>
              <w:t>3,58 %</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DC781C7" w14:textId="77777777" w:rsidR="0091213F" w:rsidRDefault="00000000">
            <w:r>
              <w:rPr>
                <w:color w:val="8B3A3A"/>
                <w:sz w:val="20"/>
                <w:szCs w:val="20"/>
              </w:rPr>
              <w:t>−1,27 pp</w:t>
            </w:r>
          </w:p>
        </w:tc>
        <w:tc>
          <w:tcPr>
            <w:tcW w:w="26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9CAA2E8" w14:textId="77777777" w:rsidR="0091213F" w:rsidRDefault="00000000">
            <w:r>
              <w:rPr>
                <w:color w:val="000000"/>
                <w:sz w:val="20"/>
                <w:szCs w:val="20"/>
              </w:rPr>
              <w:t>Inférieur — paradoxe ressources naturelles</w:t>
            </w:r>
          </w:p>
        </w:tc>
      </w:tr>
      <w:tr w:rsidR="0091213F" w14:paraId="51DC7063" w14:textId="77777777">
        <w:tc>
          <w:tcPr>
            <w:tcW w:w="2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6149CF4" w14:textId="77777777" w:rsidR="0091213F" w:rsidRDefault="00000000">
            <w:r>
              <w:rPr>
                <w:rFonts w:ascii="Arial" w:eastAsia="Arial" w:hAnsi="Arial" w:cs="Arial"/>
                <w:b/>
                <w:bCs/>
                <w:color w:val="000000"/>
                <w:sz w:val="20"/>
                <w:szCs w:val="20"/>
              </w:rPr>
              <w:t>Inflation (%)</w:t>
            </w:r>
          </w:p>
        </w:tc>
        <w:tc>
          <w:tcPr>
            <w:tcW w:w="13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FD63F18" w14:textId="77777777" w:rsidR="0091213F" w:rsidRDefault="00000000">
            <w:r>
              <w:rPr>
                <w:color w:val="000000"/>
                <w:sz w:val="20"/>
                <w:szCs w:val="20"/>
              </w:rPr>
              <w:t>1,74 %</w:t>
            </w:r>
          </w:p>
        </w:tc>
        <w:tc>
          <w:tcPr>
            <w:tcW w:w="1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93F3856" w14:textId="77777777" w:rsidR="0091213F" w:rsidRDefault="00000000">
            <w:r>
              <w:rPr>
                <w:color w:val="000000"/>
                <w:sz w:val="20"/>
                <w:szCs w:val="20"/>
              </w:rPr>
              <w:t>14,14 %</w:t>
            </w:r>
          </w:p>
        </w:tc>
        <w:tc>
          <w:tcPr>
            <w:tcW w:w="1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961130E" w14:textId="77777777" w:rsidR="0091213F" w:rsidRDefault="00000000">
            <w:r>
              <w:rPr>
                <w:rFonts w:ascii="Arial" w:eastAsia="Arial" w:hAnsi="Arial" w:cs="Arial"/>
                <w:b/>
                <w:bCs/>
                <w:color w:val="2D6A4F"/>
                <w:sz w:val="20"/>
                <w:szCs w:val="20"/>
              </w:rPr>
              <w:t>−12,4 pp</w:t>
            </w:r>
          </w:p>
        </w:tc>
        <w:tc>
          <w:tcPr>
            <w:tcW w:w="26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C24FBCC" w14:textId="77777777" w:rsidR="0091213F" w:rsidRDefault="00000000">
            <w:r>
              <w:rPr>
                <w:color w:val="000000"/>
                <w:sz w:val="20"/>
                <w:szCs w:val="20"/>
              </w:rPr>
              <w:t>Stabilité macroéconomique remarquable</w:t>
            </w:r>
          </w:p>
        </w:tc>
      </w:tr>
      <w:tr w:rsidR="0091213F" w14:paraId="7678423E" w14:textId="77777777">
        <w:tc>
          <w:tcPr>
            <w:tcW w:w="2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0D07769" w14:textId="77777777" w:rsidR="0091213F" w:rsidRDefault="00000000">
            <w:r>
              <w:rPr>
                <w:rFonts w:ascii="Arial" w:eastAsia="Arial" w:hAnsi="Arial" w:cs="Arial"/>
                <w:b/>
                <w:bCs/>
                <w:color w:val="000000"/>
                <w:sz w:val="20"/>
                <w:szCs w:val="20"/>
              </w:rPr>
              <w:lastRenderedPageBreak/>
              <w:t>Dév. financier (% PIB)</w:t>
            </w:r>
          </w:p>
        </w:tc>
        <w:tc>
          <w:tcPr>
            <w:tcW w:w="13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881AAC6" w14:textId="77777777" w:rsidR="0091213F" w:rsidRDefault="00000000">
            <w:r>
              <w:rPr>
                <w:color w:val="000000"/>
                <w:sz w:val="20"/>
                <w:szCs w:val="20"/>
              </w:rPr>
              <w:t>81,26 %</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181272E" w14:textId="77777777" w:rsidR="0091213F" w:rsidRDefault="00000000">
            <w:r>
              <w:rPr>
                <w:color w:val="000000"/>
                <w:sz w:val="20"/>
                <w:szCs w:val="20"/>
              </w:rPr>
              <w:t>28,82 %</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2C8BA7F" w14:textId="77777777" w:rsidR="0091213F" w:rsidRDefault="00000000">
            <w:r>
              <w:rPr>
                <w:rFonts w:ascii="Arial" w:eastAsia="Arial" w:hAnsi="Arial" w:cs="Arial"/>
                <w:b/>
                <w:bCs/>
                <w:color w:val="2D6A4F"/>
                <w:sz w:val="20"/>
                <w:szCs w:val="20"/>
              </w:rPr>
              <w:t>×2,8</w:t>
            </w:r>
          </w:p>
        </w:tc>
        <w:tc>
          <w:tcPr>
            <w:tcW w:w="26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9A7691D" w14:textId="77777777" w:rsidR="0091213F" w:rsidRDefault="00000000">
            <w:r>
              <w:rPr>
                <w:color w:val="000000"/>
                <w:sz w:val="20"/>
                <w:szCs w:val="20"/>
              </w:rPr>
              <w:t>Système financier nettement plus profond</w:t>
            </w:r>
          </w:p>
        </w:tc>
      </w:tr>
      <w:tr w:rsidR="0091213F" w14:paraId="57E23544" w14:textId="77777777">
        <w:tc>
          <w:tcPr>
            <w:tcW w:w="2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E923403" w14:textId="77777777" w:rsidR="0091213F" w:rsidRDefault="00000000">
            <w:r>
              <w:rPr>
                <w:rFonts w:ascii="Arial" w:eastAsia="Arial" w:hAnsi="Arial" w:cs="Arial"/>
                <w:b/>
                <w:bCs/>
                <w:color w:val="000000"/>
                <w:sz w:val="20"/>
                <w:szCs w:val="20"/>
              </w:rPr>
              <w:t>Réserves (mois import.)</w:t>
            </w:r>
          </w:p>
        </w:tc>
        <w:tc>
          <w:tcPr>
            <w:tcW w:w="13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9E26215" w14:textId="77777777" w:rsidR="0091213F" w:rsidRDefault="00000000">
            <w:r>
              <w:rPr>
                <w:color w:val="000000"/>
                <w:sz w:val="20"/>
                <w:szCs w:val="20"/>
              </w:rPr>
              <w:t>7,25</w:t>
            </w:r>
          </w:p>
        </w:tc>
        <w:tc>
          <w:tcPr>
            <w:tcW w:w="1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CD99760" w14:textId="77777777" w:rsidR="0091213F" w:rsidRDefault="00000000">
            <w:r>
              <w:rPr>
                <w:color w:val="000000"/>
                <w:sz w:val="20"/>
                <w:szCs w:val="20"/>
              </w:rPr>
              <w:t>4,69</w:t>
            </w:r>
          </w:p>
        </w:tc>
        <w:tc>
          <w:tcPr>
            <w:tcW w:w="1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290E5E4" w14:textId="77777777" w:rsidR="0091213F" w:rsidRDefault="00000000">
            <w:r>
              <w:rPr>
                <w:rFonts w:ascii="Arial" w:eastAsia="Arial" w:hAnsi="Arial" w:cs="Arial"/>
                <w:b/>
                <w:bCs/>
                <w:color w:val="2D6A4F"/>
                <w:sz w:val="20"/>
                <w:szCs w:val="20"/>
              </w:rPr>
              <w:t>+2,56</w:t>
            </w:r>
          </w:p>
        </w:tc>
        <w:tc>
          <w:tcPr>
            <w:tcW w:w="26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BD00F27" w14:textId="77777777" w:rsidR="0091213F" w:rsidRDefault="00000000">
            <w:r>
              <w:rPr>
                <w:color w:val="000000"/>
                <w:sz w:val="20"/>
                <w:szCs w:val="20"/>
              </w:rPr>
              <w:t>Au-dessus du seuil BRI (3 mois)</w:t>
            </w:r>
          </w:p>
        </w:tc>
      </w:tr>
      <w:tr w:rsidR="0091213F" w14:paraId="13E190DA" w14:textId="77777777">
        <w:tc>
          <w:tcPr>
            <w:tcW w:w="2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C225356" w14:textId="77777777" w:rsidR="0091213F" w:rsidRDefault="00000000">
            <w:r>
              <w:rPr>
                <w:rFonts w:ascii="Arial" w:eastAsia="Arial" w:hAnsi="Arial" w:cs="Arial"/>
                <w:b/>
                <w:bCs/>
                <w:color w:val="000000"/>
                <w:sz w:val="20"/>
                <w:szCs w:val="20"/>
              </w:rPr>
              <w:t>Dette ext. (% GNI)</w:t>
            </w:r>
          </w:p>
        </w:tc>
        <w:tc>
          <w:tcPr>
            <w:tcW w:w="13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BE3D7B7" w14:textId="77777777" w:rsidR="0091213F" w:rsidRDefault="00000000">
            <w:r>
              <w:rPr>
                <w:color w:val="000000"/>
                <w:sz w:val="20"/>
                <w:szCs w:val="20"/>
              </w:rPr>
              <w:t>36,14 %</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ED780A4" w14:textId="77777777" w:rsidR="0091213F" w:rsidRDefault="00000000">
            <w:r>
              <w:rPr>
                <w:color w:val="000000"/>
                <w:sz w:val="20"/>
                <w:szCs w:val="20"/>
              </w:rPr>
              <w:t>63,81 %</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C6EE27A" w14:textId="77777777" w:rsidR="0091213F" w:rsidRDefault="00000000">
            <w:r>
              <w:rPr>
                <w:rFonts w:ascii="Arial" w:eastAsia="Arial" w:hAnsi="Arial" w:cs="Arial"/>
                <w:b/>
                <w:bCs/>
                <w:color w:val="2D6A4F"/>
                <w:sz w:val="20"/>
                <w:szCs w:val="20"/>
              </w:rPr>
              <w:t>−27,7 pp</w:t>
            </w:r>
          </w:p>
        </w:tc>
        <w:tc>
          <w:tcPr>
            <w:tcW w:w="26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4F3466C" w14:textId="77777777" w:rsidR="0091213F" w:rsidRDefault="00000000">
            <w:r>
              <w:rPr>
                <w:color w:val="000000"/>
                <w:sz w:val="20"/>
                <w:szCs w:val="20"/>
              </w:rPr>
              <w:t>Vulnérabilité externe maîtrisée</w:t>
            </w:r>
          </w:p>
        </w:tc>
      </w:tr>
      <w:tr w:rsidR="0091213F" w14:paraId="32584E3C" w14:textId="77777777">
        <w:tc>
          <w:tcPr>
            <w:tcW w:w="2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F7EB916" w14:textId="77777777" w:rsidR="0091213F" w:rsidRDefault="00000000">
            <w:r>
              <w:rPr>
                <w:rFonts w:ascii="Arial" w:eastAsia="Arial" w:hAnsi="Arial" w:cs="Arial"/>
                <w:b/>
                <w:bCs/>
                <w:color w:val="000000"/>
                <w:sz w:val="20"/>
                <w:szCs w:val="20"/>
              </w:rPr>
              <w:t>Gouvernance WGI</w:t>
            </w:r>
          </w:p>
        </w:tc>
        <w:tc>
          <w:tcPr>
            <w:tcW w:w="13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B8F5C2E" w14:textId="77777777" w:rsidR="0091213F" w:rsidRDefault="00000000">
            <w:r>
              <w:rPr>
                <w:color w:val="000000"/>
                <w:sz w:val="20"/>
                <w:szCs w:val="20"/>
              </w:rPr>
              <w:t>−0,331</w:t>
            </w:r>
          </w:p>
        </w:tc>
        <w:tc>
          <w:tcPr>
            <w:tcW w:w="1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5D02CB9" w14:textId="77777777" w:rsidR="0091213F" w:rsidRDefault="00000000">
            <w:r>
              <w:rPr>
                <w:color w:val="000000"/>
                <w:sz w:val="20"/>
                <w:szCs w:val="20"/>
              </w:rPr>
              <w:t>−0,645</w:t>
            </w:r>
          </w:p>
        </w:tc>
        <w:tc>
          <w:tcPr>
            <w:tcW w:w="1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E509125" w14:textId="77777777" w:rsidR="0091213F" w:rsidRDefault="00000000">
            <w:r>
              <w:rPr>
                <w:rFonts w:ascii="Arial" w:eastAsia="Arial" w:hAnsi="Arial" w:cs="Arial"/>
                <w:b/>
                <w:bCs/>
                <w:color w:val="2D6A4F"/>
                <w:sz w:val="20"/>
                <w:szCs w:val="20"/>
              </w:rPr>
              <w:t>+0,31</w:t>
            </w:r>
          </w:p>
        </w:tc>
        <w:tc>
          <w:tcPr>
            <w:tcW w:w="26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3DD0D69" w14:textId="77777777" w:rsidR="0091213F" w:rsidRDefault="00000000">
            <w:r>
              <w:rPr>
                <w:color w:val="000000"/>
                <w:sz w:val="20"/>
                <w:szCs w:val="20"/>
              </w:rPr>
              <w:t>Supérieur de 0,31 point à la moyenne</w:t>
            </w:r>
          </w:p>
        </w:tc>
      </w:tr>
      <w:tr w:rsidR="0091213F" w14:paraId="7FF47B90" w14:textId="77777777">
        <w:tc>
          <w:tcPr>
            <w:tcW w:w="2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0BE2C84" w14:textId="77777777" w:rsidR="0091213F" w:rsidRDefault="00000000">
            <w:r>
              <w:rPr>
                <w:rFonts w:ascii="Arial" w:eastAsia="Arial" w:hAnsi="Arial" w:cs="Arial"/>
                <w:b/>
                <w:bCs/>
                <w:color w:val="000000"/>
                <w:sz w:val="20"/>
                <w:szCs w:val="20"/>
              </w:rPr>
              <w:t>Ouverture comm. (% PIB)</w:t>
            </w:r>
          </w:p>
        </w:tc>
        <w:tc>
          <w:tcPr>
            <w:tcW w:w="13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ABE79D4" w14:textId="77777777" w:rsidR="0091213F" w:rsidRDefault="00000000">
            <w:r>
              <w:rPr>
                <w:color w:val="000000"/>
                <w:sz w:val="20"/>
                <w:szCs w:val="20"/>
              </w:rPr>
              <w:t>69,99 %</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8548480" w14:textId="77777777" w:rsidR="0091213F" w:rsidRDefault="00000000">
            <w:r>
              <w:rPr>
                <w:color w:val="000000"/>
                <w:sz w:val="20"/>
                <w:szCs w:val="20"/>
              </w:rPr>
              <w:t>62,37 %</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D6BD03E" w14:textId="77777777" w:rsidR="0091213F" w:rsidRDefault="00000000">
            <w:r>
              <w:rPr>
                <w:rFonts w:ascii="Arial" w:eastAsia="Arial" w:hAnsi="Arial" w:cs="Arial"/>
                <w:b/>
                <w:bCs/>
                <w:color w:val="2D6A4F"/>
                <w:sz w:val="20"/>
                <w:szCs w:val="20"/>
              </w:rPr>
              <w:t>+7,6 pp</w:t>
            </w:r>
          </w:p>
        </w:tc>
        <w:tc>
          <w:tcPr>
            <w:tcW w:w="26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C20C363" w14:textId="77777777" w:rsidR="0091213F" w:rsidRDefault="00000000">
            <w:r>
              <w:rPr>
                <w:color w:val="000000"/>
                <w:sz w:val="20"/>
                <w:szCs w:val="20"/>
              </w:rPr>
              <w:t>Économie ouverte, ALE actifs</w:t>
            </w:r>
          </w:p>
        </w:tc>
      </w:tr>
    </w:tbl>
    <w:p w14:paraId="613531E8" w14:textId="77777777" w:rsidR="0091213F" w:rsidRDefault="00000000">
      <w:pPr>
        <w:spacing w:before="80" w:after="200"/>
        <w:jc w:val="center"/>
      </w:pPr>
      <w:r>
        <w:rPr>
          <w:rFonts w:ascii="Arial" w:eastAsia="Arial" w:hAnsi="Arial" w:cs="Arial"/>
          <w:i/>
          <w:iCs/>
          <w:color w:val="6B7280"/>
          <w:sz w:val="18"/>
          <w:szCs w:val="18"/>
        </w:rPr>
        <w:t>Tableau 8.1 — Profil comparatif Maroc vs panel africain (données réelles WDI/WGI, 2000–2022) pp = points de pourcentage</w:t>
      </w:r>
    </w:p>
    <w:p w14:paraId="50C86F04" w14:textId="62EE18DA" w:rsidR="0091213F" w:rsidRDefault="00FE1938">
      <w:pPr>
        <w:pStyle w:val="Titre2"/>
      </w:pPr>
      <w:bookmarkStart w:id="35" w:name="_Toc224419711"/>
      <w:r>
        <w:t>1.2  Résolution du paradoxe : la qualité contre le volume</w:t>
      </w:r>
      <w:bookmarkEnd w:id="35"/>
    </w:p>
    <w:p w14:paraId="3457CF36" w14:textId="77777777" w:rsidR="0091213F" w:rsidRDefault="00000000">
      <w:pPr>
        <w:spacing w:before="120" w:after="120" w:line="290" w:lineRule="auto"/>
        <w:jc w:val="both"/>
      </w:pPr>
      <w:r>
        <w:t>Le paradoxe se résout par la composition des IDE africains. Les pays qui dominent le classement des flux (Mozambique 8,2 %, Zambie 6,9 %, Congo 6,5 %) doivent leurs scores à des IDE extractifs massifs liés au gaz naturel, au cuivre et aux minerais. Ces investissements ne requièrent ni stabilité institutionnelle, ni développement financier, ni inflation maîtrisée — ils exigent uniquement l'accès à la ressource. En corriger l'effet revient à constater que le Maroc reçoit des IDE appropriés à son profil économique : manufacturiers, tertiaires, à forte intensité technologique.</w:t>
      </w:r>
    </w:p>
    <w:p w14:paraId="27B50D88" w14:textId="77777777" w:rsidR="0091213F" w:rsidRDefault="00000000">
      <w:pPr>
        <w:pBdr>
          <w:left w:val="single" w:sz="24" w:space="0" w:color="C9A84C"/>
        </w:pBdr>
        <w:shd w:val="clear" w:color="auto" w:fill="FDF8EE"/>
        <w:spacing w:before="220" w:after="220" w:line="290" w:lineRule="auto"/>
        <w:ind w:left="480" w:right="480"/>
        <w:jc w:val="both"/>
      </w:pPr>
      <w:r>
        <w:rPr>
          <w:i/>
          <w:iCs/>
          <w:color w:val="0D1B2A"/>
        </w:rPr>
        <w:t>Un pays qui reçoit 2,3 % de son PIB en IDE industriels diversifiés est structurellement dans une meilleure position de développement qu'un pays qui reçoit 8 % en IDE pétroliers concentrés dans quelques enclaves d'extraction.</w:t>
      </w:r>
    </w:p>
    <w:p w14:paraId="67D4D5BF" w14:textId="1AB90007" w:rsidR="0091213F" w:rsidRDefault="00FE1938">
      <w:pPr>
        <w:pStyle w:val="Titre1"/>
        <w:pageBreakBefore/>
      </w:pPr>
      <w:bookmarkStart w:id="36" w:name="_Toc224419712"/>
      <w:r>
        <w:rPr>
          <w:color w:val="C9A84C"/>
        </w:rPr>
        <w:lastRenderedPageBreak/>
        <w:t xml:space="preserve">2.  </w:t>
      </w:r>
      <w:r>
        <w:t>Le Maroc récepteur : impact macroéconomique des IDE</w:t>
      </w:r>
      <w:bookmarkEnd w:id="36"/>
    </w:p>
    <w:p w14:paraId="6B18FB31" w14:textId="0C5CB401" w:rsidR="0091213F" w:rsidRDefault="00FE1938">
      <w:pPr>
        <w:pStyle w:val="Titre2"/>
      </w:pPr>
      <w:bookmarkStart w:id="37" w:name="_Toc224419713"/>
      <w:r>
        <w:t>2.1  Canaux de transmission sur la croissance</w:t>
      </w:r>
      <w:bookmarkEnd w:id="37"/>
    </w:p>
    <w:p w14:paraId="38697BD7" w14:textId="77777777" w:rsidR="0091213F" w:rsidRDefault="00000000">
      <w:pPr>
        <w:spacing w:before="120" w:after="120" w:line="290" w:lineRule="auto"/>
        <w:jc w:val="both"/>
      </w:pPr>
      <w:r>
        <w:t>Les IDE agissent sur la croissance économique du Maroc par trois canaux complémentaires documentés par la théorie de la croissance endogène. Le premier est l'accumulation de capital physique : chaque IDE greenfield augmente directement le stock de capital productif et le PIB potentiel. Le deuxième est le canal des spillovers technologiques et managériaux : les entreprises locales en contact avec les multinationales absorbent des savoir-faire qui diffusent dans l'ensemble du tissu économique. L'exemple de l'écosystème automobile de Tanger — où des équipementiers marocains de rang 2 et 3 ont émergé autour de Renault et Stellantis — est emblématique de ce processus.</w:t>
      </w:r>
    </w:p>
    <w:p w14:paraId="41C0B674" w14:textId="77777777" w:rsidR="0091213F" w:rsidRDefault="00000000">
      <w:pPr>
        <w:spacing w:before="120" w:after="120" w:line="290" w:lineRule="auto"/>
        <w:jc w:val="both"/>
      </w:pPr>
      <w:r>
        <w:t>Le troisième canal passe par la Balance des Paiements : les IDE entrants couvrent partiellement le déficit courant structurel du Maroc (~4,5 % du PIB), réduisant la pression sur les réserves de change et les émissions obligataires souveraines. Cette complémentarité BDP-IDE est précisément ce que notre coefficient β = −0,159 sur le solde courant capture empiriquement.</w:t>
      </w:r>
    </w:p>
    <w:p w14:paraId="192467B2" w14:textId="4B9551EE" w:rsidR="0091213F" w:rsidRDefault="00FE1938">
      <w:pPr>
        <w:pStyle w:val="Titre2"/>
      </w:pPr>
      <w:bookmarkStart w:id="38" w:name="_Toc224419714"/>
      <w:r>
        <w:t>2.2  Emploi et transformation structurelle</w:t>
      </w:r>
      <w:bookmarkEnd w:id="38"/>
    </w:p>
    <w:p w14:paraId="24AACC31" w14:textId="77777777" w:rsidR="0091213F" w:rsidRDefault="00000000">
      <w:pPr>
        <w:spacing w:before="120" w:after="120" w:line="290" w:lineRule="auto"/>
        <w:jc w:val="both"/>
      </w:pPr>
      <w:r>
        <w:t>Les IDE contribuent à la transformation structurelle de l'économie marocaine en tirant la part de l'industrie manufacturière dans le PIB — passée de 16 % à plus de 22 % entre 2000 et 2022. Les Zones d'Accélération Industrielle accueillent aujourd'hui plus de 900 entreprises étrangères, générant environ 150 000 emplois directs. La qualité de ces emplois est supérieure à la moyenne nationale en termes de qualification et de rémunération, contribuant à réduire les inégalités salariales sectorielles.</w:t>
      </w:r>
    </w:p>
    <w:p w14:paraId="32495AF8" w14:textId="05FF37AC" w:rsidR="00FE1938" w:rsidRPr="00FE1938" w:rsidRDefault="00000000" w:rsidP="00FE1938">
      <w:pPr>
        <w:spacing w:before="120" w:after="120" w:line="290" w:lineRule="auto"/>
        <w:jc w:val="both"/>
      </w:pPr>
      <w:r>
        <w:t>La politique de «Morocco as a service» — offrir aux multinationales une plateforme de production compétitive à l'interface de l'Europe et de l'Afrique — s'avère performante dans les secteurs automobile (2ème constructeur africain derrière l'Afrique du Sud) et aéronautique (140 sous-traitants, rang 5 mondial pour le câblage aéronautique).</w:t>
      </w:r>
      <w:bookmarkStart w:id="39" w:name="_Toc224419715"/>
    </w:p>
    <w:p w14:paraId="2EDAC5E6" w14:textId="77777777" w:rsidR="00FE1938" w:rsidRPr="00FE1938" w:rsidRDefault="00FE1938" w:rsidP="00FE1938"/>
    <w:p w14:paraId="039D6A9D" w14:textId="560B73EF" w:rsidR="0091213F" w:rsidRDefault="00FE1938">
      <w:pPr>
        <w:pStyle w:val="Titre1"/>
        <w:pageBreakBefore/>
      </w:pPr>
      <w:r>
        <w:rPr>
          <w:color w:val="C9A84C"/>
        </w:rPr>
        <w:lastRenderedPageBreak/>
        <w:t xml:space="preserve">3.  </w:t>
      </w:r>
      <w:r>
        <w:t>Le Maroc émetteur : stratégie de hub africain</w:t>
      </w:r>
      <w:bookmarkEnd w:id="39"/>
    </w:p>
    <w:p w14:paraId="490FB624" w14:textId="6F722B82" w:rsidR="0091213F" w:rsidRDefault="00FE1938">
      <w:pPr>
        <w:pStyle w:val="Titre2"/>
      </w:pPr>
      <w:bookmarkStart w:id="40" w:name="_Toc224419716"/>
      <w:r>
        <w:t>3.1  L'internationalisation des champions nationaux</w:t>
      </w:r>
      <w:bookmarkEnd w:id="40"/>
    </w:p>
    <w:p w14:paraId="7ACB6A40" w14:textId="77777777" w:rsidR="0091213F" w:rsidRDefault="00000000">
      <w:pPr>
        <w:spacing w:before="120" w:after="120" w:line="290" w:lineRule="auto"/>
        <w:jc w:val="both"/>
      </w:pPr>
      <w:r>
        <w:t>La montée en puissance du Maroc comme émetteur d'IDE constitue le fait économique le plus saillant de la période 2000–2022. Trois secteurs illustrent cette dynamique. Dans la finance, Attijariwafa Bank — première banque africaine par son empreinte géographique — est présente dans 26 pays africains avec plus de 5 000 agences et 20 millions de clients. BMCE Bank of Africa dessert 20 pays subsahariens. Ces deux groupes ont transformé le Maroc en exportateur net de services bancaires vers l'Afrique francophone.</w:t>
      </w:r>
    </w:p>
    <w:p w14:paraId="68B81E05" w14:textId="77777777" w:rsidR="0091213F" w:rsidRDefault="00000000">
      <w:pPr>
        <w:spacing w:before="120" w:after="120" w:line="290" w:lineRule="auto"/>
        <w:jc w:val="both"/>
      </w:pPr>
      <w:r>
        <w:t>Dans l'agriculture et les engrais, l'OCP a développé une stratégie panafricaine ambitieuse : accords de fourniture de phosphates et d'engrais avec plus de 40 pays africains, projets de joint-ventures pour des unités de production locales (Nigéria, Éthiopie), et programme AfricaFertilizer.org qui positionne le Maroc au cœur de la sécurité alimentaire continentale. Dans les télécoms, Maroc Telecom opère dans 10 pays africains et dessert plus de 70 millions d'abonnés.</w:t>
      </w:r>
    </w:p>
    <w:p w14:paraId="7A64A0EC" w14:textId="795BC03B" w:rsidR="0091213F" w:rsidRDefault="00FE1938">
      <w:pPr>
        <w:pStyle w:val="Titre2"/>
      </w:pPr>
      <w:bookmarkStart w:id="41" w:name="_Toc224419717"/>
      <w:r>
        <w:t>3.2  Ce que confirment les données empiriques</w:t>
      </w:r>
      <w:bookmarkEnd w:id="41"/>
    </w:p>
    <w:p w14:paraId="017E6849" w14:textId="77777777" w:rsidR="0091213F" w:rsidRDefault="00000000">
      <w:pPr>
        <w:spacing w:before="120" w:after="120" w:line="290" w:lineRule="auto"/>
        <w:jc w:val="both"/>
      </w:pPr>
      <w:r>
        <w:t>Le Modèle 2 valide empiriquement cette trajectoire. Le coefficient β = +0,815 sur le ln(PIB/hab) marocain confirme que c'est bien la croissance du revenu intérieur qui finance l'expansion africaine — conformément à la théorie d'Uppsala. Plus le Maroc s'enrichit, plus ses firmes accumulent les ressources financières et managériales nécessaires à des opérations d'acquisition et de greenfield en Afrique subsaharienne.</w:t>
      </w:r>
    </w:p>
    <w:p w14:paraId="69737762" w14:textId="77777777" w:rsidR="0091213F" w:rsidRDefault="00000000">
      <w:pPr>
        <w:spacing w:before="120" w:after="120" w:line="290" w:lineRule="auto"/>
        <w:jc w:val="both"/>
      </w:pPr>
      <w:r>
        <w:t>L'effet positif du taux de change (β = +0,941 *) sur les IDE sortants apporte une nuance intéressante : une dépréciation relative du dirham rend les acquisitions africaines moins coûteuses en monnaie locale, offrant une fenêtre d'opportunité pour les acquisitions stratégiques. Ce mécanisme est cohérent avec la théorie des acquisitions transnationales (Froot &amp; Stein, 1991).</w:t>
      </w:r>
    </w:p>
    <w:p w14:paraId="0DB7D3A8" w14:textId="3AA18F4F" w:rsidR="0091213F" w:rsidRDefault="00FE1938">
      <w:pPr>
        <w:pStyle w:val="Titre2"/>
      </w:pPr>
      <w:bookmarkStart w:id="42" w:name="_Toc224419718"/>
      <w:r>
        <w:t>3.3  Perspectives stratégiques : la ZLECAf comme accélérateur</w:t>
      </w:r>
      <w:bookmarkEnd w:id="42"/>
    </w:p>
    <w:p w14:paraId="603F85EF" w14:textId="77777777" w:rsidR="0091213F" w:rsidRDefault="00000000">
      <w:pPr>
        <w:spacing w:before="120" w:after="120" w:line="290" w:lineRule="auto"/>
        <w:jc w:val="both"/>
      </w:pPr>
      <w:r>
        <w:t>La Zone de Libre Échange Continentale Africaine (ZLECAf), entrée en vigueur en 2021, représente un catalyseur potentiellement transformateur pour le positionnement du Maroc. En supprimant progressivement les barrières tarifaires sur 97 % des lignes de produits entre les 54 États membres, la ZLECAf crée les conditions d'une intégration des chaînes de valeur intra-africaines que le Maroc est structurellement le mieux positionné pour exploiter : proximité géographique avec l'Europe (accès aux intrants industriels), développement financier permettant des montages complexes, et empreinte commerciale et bancaire déjà établie.</w:t>
      </w:r>
    </w:p>
    <w:p w14:paraId="0001FA9E" w14:textId="77777777" w:rsidR="0091213F" w:rsidRDefault="00000000">
      <w:pPr>
        <w:spacing w:before="120" w:after="120" w:line="290" w:lineRule="auto"/>
        <w:jc w:val="both"/>
      </w:pPr>
      <w:r>
        <w:t xml:space="preserve">Les données empiriques — développement financier de 81 % du PIB, réserves à 7,2 mois, stabilité des prix — constituent les prérequis macroéconomiques d'une stratégie d'investissement africain à grande échelle. L'enjeu stratégique n'est plus de savoir si le Maroc peut prétendre au statut de hub régional — </w:t>
      </w:r>
      <w:r>
        <w:lastRenderedPageBreak/>
        <w:t>les fondamentaux le confirment — mais de traduire ces avantages structurels en flux d'IDE effectifs dans les secteurs industriels à forte valeur ajoutée.</w:t>
      </w:r>
    </w:p>
    <w:p w14:paraId="66F83C3D" w14:textId="77777777" w:rsidR="0091213F" w:rsidRDefault="00000000">
      <w:pPr>
        <w:pStyle w:val="Titre1"/>
        <w:pageBreakBefore/>
        <w:spacing w:before="460"/>
      </w:pPr>
      <w:bookmarkStart w:id="43" w:name="_Toc224419719"/>
      <w:r>
        <w:lastRenderedPageBreak/>
        <w:t>CONCLUSION GÉNÉRALE</w:t>
      </w:r>
      <w:bookmarkEnd w:id="43"/>
    </w:p>
    <w:p w14:paraId="5C2BDCE2" w14:textId="77777777" w:rsidR="0091213F" w:rsidRDefault="00000000">
      <w:pPr>
        <w:pStyle w:val="Titre2"/>
        <w:spacing w:before="320"/>
      </w:pPr>
      <w:bookmarkStart w:id="44" w:name="_Toc224419720"/>
      <w:r>
        <w:t>Synthèse des trois parties</w:t>
      </w:r>
      <w:bookmarkEnd w:id="44"/>
    </w:p>
    <w:p w14:paraId="19C5A0F2" w14:textId="77777777" w:rsidR="0091213F" w:rsidRDefault="00000000">
      <w:pPr>
        <w:spacing w:before="120" w:after="120" w:line="290" w:lineRule="auto"/>
        <w:jc w:val="both"/>
      </w:pPr>
      <w:r>
        <w:t>Ce rapport a articulé une analyse des IDE au Maroc en Afrique en trois temps complémentaires. La Partie I a posé les fondements théoriques — définitions, paradigme OLI, modèle d'Uppsala, articulation BDP-IDE — qui constituent le cadre prédictif soumis à l'épreuve des données. La Partie II a construit un dispositif empirique rigoureux sur données financières réelles (17 pays, 2000–2022, WDI/WGI/CNUCED) et a identifié les déterminants effectifs des IDE africains par économétrie de panel à effets fixes. La Partie III a mobilisé simultanément la théorie et les données pour analyser le double positionnement du Maroc — pays récepteur aux fondamentaux solides et pays émetteur en pleine expansion africaine.</w:t>
      </w:r>
    </w:p>
    <w:p w14:paraId="4DBC2B65" w14:textId="77777777" w:rsidR="0091213F" w:rsidRDefault="00000000">
      <w:pPr>
        <w:pStyle w:val="Titre2"/>
        <w:spacing w:before="320"/>
      </w:pPr>
      <w:bookmarkStart w:id="45" w:name="_Toc224419721"/>
      <w:r>
        <w:t>Principaux enseignements</w:t>
      </w:r>
      <w:bookmarkEnd w:id="45"/>
    </w:p>
    <w:p w14:paraId="46D9A678" w14:textId="77777777" w:rsidR="0091213F" w:rsidRDefault="00000000">
      <w:pPr>
        <w:pStyle w:val="Paragraphedeliste"/>
        <w:numPr>
          <w:ilvl w:val="0"/>
          <w:numId w:val="3"/>
        </w:numPr>
        <w:spacing w:before="80" w:after="80" w:line="278" w:lineRule="auto"/>
      </w:pPr>
      <w:r>
        <w:t>La robustesse de l'effet taille de marché (β = +1,82 ***) confirme que le revenu par habitant est le déterminant dominant des IDE en Afrique — résultat théoriquement cohérent avec le pilier L du paradigme OLI.</w:t>
      </w:r>
    </w:p>
    <w:p w14:paraId="26D42F33" w14:textId="77777777" w:rsidR="0091213F" w:rsidRDefault="00000000">
      <w:pPr>
        <w:pStyle w:val="Paragraphedeliste"/>
        <w:numPr>
          <w:ilvl w:val="0"/>
          <w:numId w:val="3"/>
        </w:numPr>
        <w:spacing w:before="80" w:after="80" w:line="278" w:lineRule="auto"/>
      </w:pPr>
      <w:r>
        <w:t>Le paradoxe de la gouvernance (β = −2,53 **) révèle que les données africaines dévient de la théorie en raison du biais des IDE extractifs — insensibles à la qualité institutionnelle. Ce résultat contre-intuitif est en réalité informatif sur la structure des flux africains.</w:t>
      </w:r>
    </w:p>
    <w:p w14:paraId="352376B1" w14:textId="77777777" w:rsidR="0091213F" w:rsidRDefault="00000000">
      <w:pPr>
        <w:pStyle w:val="Paragraphedeliste"/>
        <w:numPr>
          <w:ilvl w:val="0"/>
          <w:numId w:val="3"/>
        </w:numPr>
        <w:spacing w:before="80" w:after="80" w:line="278" w:lineRule="auto"/>
      </w:pPr>
      <w:r>
        <w:t>La mécanique BDP est empiriquement validée : le coefficient du solde courant (β = −0,16 **) confirme que les pays déficitaires compensent par les IDE entrants — identité comptable de la BDP confirmée par les données réelles.</w:t>
      </w:r>
    </w:p>
    <w:p w14:paraId="25F113D5" w14:textId="368FE8FE" w:rsidR="00701D95" w:rsidRDefault="00000000" w:rsidP="00701D95">
      <w:pPr>
        <w:pStyle w:val="Paragraphedeliste"/>
        <w:numPr>
          <w:ilvl w:val="0"/>
          <w:numId w:val="3"/>
        </w:numPr>
        <w:spacing w:before="80" w:after="80" w:line="278" w:lineRule="auto"/>
      </w:pPr>
      <w:r>
        <w:t>L'internationalisation marocaine est pilotée par la croissance interne (β = +0,82 *** sur le PIB/hab marocain) — push factor dominant conforme à la théorie d'Uppsala, avec une accélération post-2010 directement liée à la montée en puissance des champions nationaux.</w:t>
      </w:r>
    </w:p>
    <w:p w14:paraId="3E20B3FE" w14:textId="77777777" w:rsidR="00FE1938" w:rsidRDefault="00FE1938" w:rsidP="00FE1938">
      <w:pPr>
        <w:spacing w:before="80" w:after="80" w:line="278" w:lineRule="auto"/>
        <w:ind w:left="360"/>
      </w:pPr>
    </w:p>
    <w:p w14:paraId="3B513C0D" w14:textId="7B74CE2F" w:rsidR="00701D95" w:rsidRPr="00701D95" w:rsidRDefault="00000000" w:rsidP="00701D95">
      <w:pPr>
        <w:pBdr>
          <w:top w:val="single" w:sz="10" w:space="0" w:color="1B3A5C"/>
          <w:left w:val="single" w:sz="28" w:space="0" w:color="1B3A5C"/>
          <w:bottom w:val="single" w:sz="10" w:space="0" w:color="1B3A5C"/>
          <w:right w:val="single" w:sz="8" w:space="0" w:color="1B3A5C"/>
        </w:pBdr>
        <w:shd w:val="clear" w:color="auto" w:fill="EEF4FB"/>
        <w:spacing w:before="180" w:after="180" w:line="290" w:lineRule="auto"/>
        <w:ind w:left="400" w:right="400"/>
        <w:jc w:val="both"/>
        <w:rPr>
          <w:color w:val="1B3A5C"/>
        </w:rPr>
      </w:pPr>
      <w:r>
        <w:rPr>
          <w:color w:val="1B3A5C"/>
        </w:rPr>
        <w:t>Le Maroc dispose d'un socle macroéconomique et financier — stabilité des prix, développement financier de premier rang africain, réserves de change confortables, dette maîtrisée — qui valide son ambition de hub régional d'investissement. La ZLECAf ouvre une fenêtre d'opportunité pour amplifier cette trajectoire en intégrant les firmes marocaines dans les chaînes de valeur panafricaines. Les données confirment la théorie, avec la nuance nécessaire que les IDE africains obéissent à des logiques de ressources naturelles qui brouillent parfois les déterminants institutionnels habituels.</w:t>
      </w:r>
    </w:p>
    <w:p w14:paraId="56A826DA" w14:textId="0C9714D6" w:rsidR="0091213F" w:rsidRDefault="00000000">
      <w:pPr>
        <w:pStyle w:val="Titre2"/>
        <w:spacing w:before="320"/>
      </w:pPr>
      <w:bookmarkStart w:id="46" w:name="_Toc224419723"/>
      <w:r>
        <w:t>Limites et perspectives</w:t>
      </w:r>
      <w:bookmarkEnd w:id="46"/>
    </w:p>
    <w:p w14:paraId="0BE7646C" w14:textId="77777777" w:rsidR="0091213F" w:rsidRDefault="00000000">
      <w:pPr>
        <w:pStyle w:val="Paragraphedeliste"/>
        <w:numPr>
          <w:ilvl w:val="0"/>
          <w:numId w:val="2"/>
        </w:numPr>
        <w:spacing w:before="80" w:after="80" w:line="278" w:lineRule="auto"/>
      </w:pPr>
      <w:r>
        <w:t>Panel limité à 17 pays après traitement des valeurs manquantes — idéalement 30+ économies pour une robustesse accrue.</w:t>
      </w:r>
    </w:p>
    <w:p w14:paraId="14A7D954" w14:textId="77777777" w:rsidR="00701D95" w:rsidRDefault="00701D95" w:rsidP="00701D95"/>
    <w:p w14:paraId="4E217621" w14:textId="77777777" w:rsidR="00701D95" w:rsidRPr="00710AE3" w:rsidRDefault="00701D95" w:rsidP="00701D95">
      <w:pPr>
        <w:pStyle w:val="Titre1"/>
        <w:pageBreakBefore/>
        <w:spacing w:before="460"/>
        <w:rPr>
          <w:lang w:val="en-US"/>
        </w:rPr>
      </w:pPr>
      <w:bookmarkStart w:id="47" w:name="_Toc224419724"/>
      <w:r>
        <w:rPr>
          <w:lang w:val="en-US"/>
        </w:rPr>
        <w:lastRenderedPageBreak/>
        <w:t>RÉFÉRENCES</w:t>
      </w:r>
      <w:bookmarkEnd w:id="47"/>
    </w:p>
    <w:p w14:paraId="74BDA627" w14:textId="77777777" w:rsidR="00701D95" w:rsidRPr="00710AE3" w:rsidRDefault="00701D95" w:rsidP="00701D95">
      <w:pPr>
        <w:spacing w:before="120" w:after="120" w:line="290" w:lineRule="auto"/>
        <w:jc w:val="both"/>
        <w:rPr>
          <w:lang w:val="en-US"/>
        </w:rPr>
      </w:pPr>
      <w:r>
        <w:rPr>
          <w:lang w:val="en-US"/>
        </w:rPr>
        <w:t>Asiedu, E. (2002). On the Determinants of Foreign Direct Investment to Developing Countries: Is Africa Different? World Development, 30(1), 107–119.</w:t>
      </w:r>
    </w:p>
    <w:p w14:paraId="2A9C2207" w14:textId="77777777" w:rsidR="00701D95" w:rsidRPr="00710AE3" w:rsidRDefault="00701D95" w:rsidP="00701D95">
      <w:pPr>
        <w:spacing w:before="120" w:after="120" w:line="290" w:lineRule="auto"/>
        <w:jc w:val="both"/>
        <w:rPr>
          <w:lang w:val="en-US"/>
        </w:rPr>
      </w:pPr>
      <w:r>
        <w:rPr>
          <w:lang w:val="en-US"/>
        </w:rPr>
        <w:t>Dunning, J.H. (1981). International Production and the Multinational Enterprise. London: Allen &amp; Unwin.</w:t>
      </w:r>
    </w:p>
    <w:p w14:paraId="42D223C2" w14:textId="77777777" w:rsidR="00701D95" w:rsidRPr="00710AE3" w:rsidRDefault="00701D95" w:rsidP="00701D95">
      <w:pPr>
        <w:spacing w:before="120" w:after="120" w:line="290" w:lineRule="auto"/>
        <w:jc w:val="both"/>
        <w:rPr>
          <w:lang w:val="en-US"/>
        </w:rPr>
      </w:pPr>
      <w:r>
        <w:rPr>
          <w:lang w:val="en-US"/>
        </w:rPr>
        <w:t xml:space="preserve">Dunning, J.H. &amp; </w:t>
      </w:r>
      <w:proofErr w:type="spellStart"/>
      <w:r>
        <w:rPr>
          <w:lang w:val="en-US"/>
        </w:rPr>
        <w:t>Lundan</w:t>
      </w:r>
      <w:proofErr w:type="spellEnd"/>
      <w:r>
        <w:rPr>
          <w:lang w:val="en-US"/>
        </w:rPr>
        <w:t>, S.M. (2008). Multinational Enterprises and the Global Economy (2nd ed.). Cheltenham: Edward Elgar.</w:t>
      </w:r>
    </w:p>
    <w:p w14:paraId="12B2B2AE" w14:textId="77777777" w:rsidR="00701D95" w:rsidRPr="00710AE3" w:rsidRDefault="00701D95" w:rsidP="00701D95">
      <w:pPr>
        <w:spacing w:before="120" w:after="120" w:line="290" w:lineRule="auto"/>
        <w:jc w:val="both"/>
        <w:rPr>
          <w:lang w:val="en-US"/>
        </w:rPr>
      </w:pPr>
      <w:r>
        <w:rPr>
          <w:lang w:val="en-US"/>
        </w:rPr>
        <w:t>Froot, K.A. &amp; Stein, J.C. (1991). Exchange Rates and Foreign Direct Investment. Quarterly Journal of Economics, 106(4), 1191–1217.</w:t>
      </w:r>
    </w:p>
    <w:p w14:paraId="6C7D7195" w14:textId="77777777" w:rsidR="00701D95" w:rsidRDefault="00701D95" w:rsidP="00701D95">
      <w:pPr>
        <w:spacing w:before="120" w:after="120" w:line="290" w:lineRule="auto"/>
        <w:jc w:val="both"/>
      </w:pPr>
      <w:r>
        <w:rPr>
          <w:lang w:val="en-US"/>
        </w:rPr>
        <w:t xml:space="preserve">Hausman, J.A. (1978). Specification Tests in Econometrics. </w:t>
      </w:r>
      <w:proofErr w:type="spellStart"/>
      <w:r>
        <w:t>Econometrica</w:t>
      </w:r>
      <w:proofErr w:type="spellEnd"/>
      <w:r>
        <w:t>, 46(6), 1251–1271.</w:t>
      </w:r>
    </w:p>
    <w:p w14:paraId="237B600F" w14:textId="77777777" w:rsidR="00701D95" w:rsidRPr="00710AE3" w:rsidRDefault="00701D95" w:rsidP="00701D95">
      <w:pPr>
        <w:spacing w:before="120" w:after="120" w:line="290" w:lineRule="auto"/>
        <w:jc w:val="both"/>
        <w:rPr>
          <w:lang w:val="en-US"/>
        </w:rPr>
      </w:pPr>
      <w:r>
        <w:t xml:space="preserve">Johanson, J. &amp; </w:t>
      </w:r>
      <w:proofErr w:type="spellStart"/>
      <w:r>
        <w:t>Vahlne</w:t>
      </w:r>
      <w:proofErr w:type="spellEnd"/>
      <w:r>
        <w:t xml:space="preserve">, J.E. (1977). </w:t>
      </w:r>
      <w:r>
        <w:rPr>
          <w:lang w:val="en-US"/>
        </w:rPr>
        <w:t>The Internationalization Process of the Firm. Journal of International Business Studies, 8(1), 23–32.</w:t>
      </w:r>
    </w:p>
    <w:p w14:paraId="4F20EDE6" w14:textId="77777777" w:rsidR="00701D95" w:rsidRPr="00710AE3" w:rsidRDefault="00701D95" w:rsidP="00701D95">
      <w:pPr>
        <w:spacing w:before="120" w:after="120" w:line="290" w:lineRule="auto"/>
        <w:jc w:val="both"/>
        <w:rPr>
          <w:lang w:val="en-US"/>
        </w:rPr>
      </w:pPr>
      <w:r>
        <w:rPr>
          <w:lang w:val="en-US"/>
        </w:rPr>
        <w:t>Kolstad, I. &amp; Wiig, A. (2011). Better the Devil You Know? Chinese Foreign Direct Investment in Africa. Journal of African Business, 12(1), 31–50.</w:t>
      </w:r>
    </w:p>
    <w:p w14:paraId="3D537136" w14:textId="77777777" w:rsidR="00701D95" w:rsidRPr="00710AE3" w:rsidRDefault="00701D95" w:rsidP="00701D95">
      <w:pPr>
        <w:spacing w:before="120" w:after="120" w:line="290" w:lineRule="auto"/>
        <w:jc w:val="both"/>
        <w:rPr>
          <w:lang w:val="en-US"/>
        </w:rPr>
      </w:pPr>
      <w:r>
        <w:rPr>
          <w:lang w:val="en-US"/>
        </w:rPr>
        <w:t>Wooldridge, J.M. (2010). Econometric Analysis of Cross Section and Panel Data (2nd ed.). MIT Press.</w:t>
      </w:r>
    </w:p>
    <w:p w14:paraId="452B0A98" w14:textId="77777777" w:rsidR="00701D95" w:rsidRPr="00710AE3" w:rsidRDefault="00701D95" w:rsidP="00701D95">
      <w:pPr>
        <w:spacing w:before="120" w:after="120" w:line="290" w:lineRule="auto"/>
        <w:jc w:val="both"/>
        <w:rPr>
          <w:lang w:val="en-US"/>
        </w:rPr>
      </w:pPr>
      <w:r>
        <w:rPr>
          <w:lang w:val="en-US"/>
        </w:rPr>
        <w:t>Banque Mondiale (2024). World Development Indicators. databank.worldbank.org</w:t>
      </w:r>
    </w:p>
    <w:p w14:paraId="1F424B3A" w14:textId="77777777" w:rsidR="00701D95" w:rsidRPr="00710AE3" w:rsidRDefault="00701D95" w:rsidP="00701D95">
      <w:pPr>
        <w:spacing w:before="120" w:after="120" w:line="290" w:lineRule="auto"/>
        <w:jc w:val="both"/>
        <w:rPr>
          <w:lang w:val="en-US"/>
        </w:rPr>
      </w:pPr>
      <w:r>
        <w:rPr>
          <w:lang w:val="en-US"/>
        </w:rPr>
        <w:t>Banque Mondiale (2024). Worldwide Governance Indicators. info.worldbank.org/governance/</w:t>
      </w:r>
      <w:proofErr w:type="spellStart"/>
      <w:r>
        <w:rPr>
          <w:lang w:val="en-US"/>
        </w:rPr>
        <w:t>wgi</w:t>
      </w:r>
      <w:proofErr w:type="spellEnd"/>
    </w:p>
    <w:p w14:paraId="4D4CBA06" w14:textId="77777777" w:rsidR="00701D95" w:rsidRPr="00710AE3" w:rsidRDefault="00701D95" w:rsidP="00701D95">
      <w:pPr>
        <w:spacing w:before="120" w:after="120" w:line="290" w:lineRule="auto"/>
        <w:jc w:val="both"/>
        <w:rPr>
          <w:lang w:val="en-US"/>
        </w:rPr>
      </w:pPr>
      <w:r>
        <w:rPr>
          <w:lang w:val="en-US"/>
        </w:rPr>
        <w:t xml:space="preserve">CNUCED (2024). World Investment Report 2024. </w:t>
      </w:r>
      <w:proofErr w:type="gramStart"/>
      <w:r>
        <w:rPr>
          <w:lang w:val="en-US"/>
        </w:rPr>
        <w:t>Genève :</w:t>
      </w:r>
      <w:proofErr w:type="gramEnd"/>
      <w:r>
        <w:rPr>
          <w:lang w:val="en-US"/>
        </w:rPr>
        <w:t xml:space="preserve"> Nations </w:t>
      </w:r>
      <w:proofErr w:type="spellStart"/>
      <w:r>
        <w:rPr>
          <w:lang w:val="en-US"/>
        </w:rPr>
        <w:t>Unies</w:t>
      </w:r>
      <w:proofErr w:type="spellEnd"/>
      <w:r>
        <w:rPr>
          <w:lang w:val="en-US"/>
        </w:rPr>
        <w:t>.</w:t>
      </w:r>
    </w:p>
    <w:p w14:paraId="13895CBD" w14:textId="77777777" w:rsidR="00701D95" w:rsidRDefault="00701D95" w:rsidP="00701D95">
      <w:pPr>
        <w:spacing w:before="120" w:after="120" w:line="290" w:lineRule="auto"/>
        <w:jc w:val="both"/>
      </w:pPr>
      <w:r>
        <w:t>AMDIE (2023). Tableau de Bord des Investissements au Maroc. Casablanca.</w:t>
      </w:r>
    </w:p>
    <w:p w14:paraId="144715F1" w14:textId="4683ECD5" w:rsidR="00701D95" w:rsidRPr="00701D95" w:rsidRDefault="00701D95" w:rsidP="00701D95">
      <w:pPr>
        <w:tabs>
          <w:tab w:val="left" w:pos="1035"/>
        </w:tabs>
      </w:pPr>
    </w:p>
    <w:p w14:paraId="1A402E8B" w14:textId="77777777" w:rsidR="0091213F" w:rsidRDefault="00000000">
      <w:pPr>
        <w:pStyle w:val="Titre1"/>
        <w:pageBreakBefore/>
        <w:spacing w:before="460"/>
      </w:pPr>
      <w:bookmarkStart w:id="48" w:name="_Toc224419725"/>
      <w:r>
        <w:lastRenderedPageBreak/>
        <w:t>ANNEXES</w:t>
      </w:r>
      <w:bookmarkEnd w:id="48"/>
    </w:p>
    <w:p w14:paraId="2B46494A" w14:textId="77777777" w:rsidR="0091213F" w:rsidRDefault="00000000">
      <w:pPr>
        <w:pStyle w:val="Titre2"/>
        <w:spacing w:before="320"/>
      </w:pPr>
      <w:bookmarkStart w:id="49" w:name="_Toc224419726"/>
      <w:r>
        <w:t>Annexe A — Les 17 pays du panel effectif</w:t>
      </w:r>
      <w:bookmarkEnd w:id="49"/>
    </w:p>
    <w:tbl>
      <w:tblPr>
        <w:tblW w:w="9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
        <w:gridCol w:w="1494"/>
        <w:gridCol w:w="1097"/>
        <w:gridCol w:w="1094"/>
        <w:gridCol w:w="5020"/>
      </w:tblGrid>
      <w:tr w:rsidR="0091213F" w14:paraId="2FA3BCE3" w14:textId="77777777">
        <w:trPr>
          <w:tblHeader/>
        </w:trPr>
        <w:tc>
          <w:tcPr>
            <w:tcW w:w="4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4276579A" w14:textId="77777777" w:rsidR="0091213F" w:rsidRDefault="00000000">
            <w:pPr>
              <w:jc w:val="center"/>
            </w:pPr>
            <w:r>
              <w:rPr>
                <w:rFonts w:ascii="Arial" w:eastAsia="Arial" w:hAnsi="Arial" w:cs="Arial"/>
                <w:b/>
                <w:bCs/>
                <w:color w:val="FFFFFF"/>
                <w:sz w:val="20"/>
                <w:szCs w:val="20"/>
              </w:rPr>
              <w:t>N°</w:t>
            </w:r>
          </w:p>
        </w:tc>
        <w:tc>
          <w:tcPr>
            <w:tcW w:w="15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510B7FDE" w14:textId="77777777" w:rsidR="0091213F" w:rsidRDefault="00000000">
            <w:pPr>
              <w:jc w:val="center"/>
            </w:pPr>
            <w:r>
              <w:rPr>
                <w:rFonts w:ascii="Arial" w:eastAsia="Arial" w:hAnsi="Arial" w:cs="Arial"/>
                <w:b/>
                <w:bCs/>
                <w:color w:val="FFFFFF"/>
                <w:sz w:val="20"/>
                <w:szCs w:val="20"/>
              </w:rPr>
              <w:t>Pays</w:t>
            </w:r>
          </w:p>
        </w:tc>
        <w:tc>
          <w:tcPr>
            <w:tcW w:w="11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41354815" w14:textId="77777777" w:rsidR="0091213F" w:rsidRDefault="00000000">
            <w:pPr>
              <w:jc w:val="center"/>
            </w:pPr>
            <w:r>
              <w:rPr>
                <w:rFonts w:ascii="Arial" w:eastAsia="Arial" w:hAnsi="Arial" w:cs="Arial"/>
                <w:b/>
                <w:bCs/>
                <w:color w:val="FFFFFF"/>
                <w:sz w:val="20"/>
                <w:szCs w:val="20"/>
              </w:rPr>
              <w:t>Région</w:t>
            </w:r>
          </w:p>
        </w:tc>
        <w:tc>
          <w:tcPr>
            <w:tcW w:w="1100"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341B1EB4" w14:textId="77777777" w:rsidR="0091213F" w:rsidRDefault="00000000">
            <w:pPr>
              <w:jc w:val="center"/>
            </w:pPr>
            <w:r>
              <w:rPr>
                <w:rFonts w:ascii="Arial" w:eastAsia="Arial" w:hAnsi="Arial" w:cs="Arial"/>
                <w:b/>
                <w:bCs/>
                <w:color w:val="FFFFFF"/>
                <w:sz w:val="20"/>
                <w:szCs w:val="20"/>
              </w:rPr>
              <w:t>IDE moy. (% PIB)</w:t>
            </w:r>
          </w:p>
        </w:tc>
        <w:tc>
          <w:tcPr>
            <w:tcW w:w="5071" w:type="dxa"/>
            <w:tcBorders>
              <w:top w:val="single" w:sz="6" w:space="0" w:color="2E5F8A"/>
              <w:left w:val="single" w:sz="6" w:space="0" w:color="2E5F8A"/>
              <w:bottom w:val="single" w:sz="6" w:space="0" w:color="2E5F8A"/>
              <w:right w:val="single" w:sz="6" w:space="0" w:color="2E5F8A"/>
            </w:tcBorders>
            <w:shd w:val="clear" w:color="auto" w:fill="1B3A5C"/>
            <w:tcMar>
              <w:top w:w="90" w:type="dxa"/>
              <w:left w:w="120" w:type="dxa"/>
              <w:bottom w:w="90" w:type="dxa"/>
              <w:right w:w="120" w:type="dxa"/>
            </w:tcMar>
          </w:tcPr>
          <w:p w14:paraId="0F75A766" w14:textId="77777777" w:rsidR="0091213F" w:rsidRDefault="00000000">
            <w:pPr>
              <w:jc w:val="center"/>
            </w:pPr>
            <w:r>
              <w:rPr>
                <w:rFonts w:ascii="Arial" w:eastAsia="Arial" w:hAnsi="Arial" w:cs="Arial"/>
                <w:b/>
                <w:bCs/>
                <w:color w:val="FFFFFF"/>
                <w:sz w:val="20"/>
                <w:szCs w:val="20"/>
              </w:rPr>
              <w:t>Particularité</w:t>
            </w:r>
          </w:p>
        </w:tc>
      </w:tr>
      <w:tr w:rsidR="0091213F" w14:paraId="28F53A71" w14:textId="77777777">
        <w:tc>
          <w:tcPr>
            <w:tcW w:w="4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7921939" w14:textId="77777777" w:rsidR="0091213F" w:rsidRDefault="00000000">
            <w:r>
              <w:rPr>
                <w:color w:val="000000"/>
                <w:sz w:val="20"/>
                <w:szCs w:val="20"/>
              </w:rPr>
              <w:t>1</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ADE617E" w14:textId="77777777" w:rsidR="0091213F" w:rsidRDefault="00000000">
            <w:r>
              <w:rPr>
                <w:rFonts w:ascii="Arial" w:eastAsia="Arial" w:hAnsi="Arial" w:cs="Arial"/>
                <w:b/>
                <w:bCs/>
                <w:color w:val="000000"/>
                <w:sz w:val="20"/>
                <w:szCs w:val="20"/>
              </w:rPr>
              <w:t>Maroc</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04F0B0C" w14:textId="77777777" w:rsidR="0091213F" w:rsidRDefault="00000000">
            <w:r>
              <w:rPr>
                <w:color w:val="000000"/>
                <w:sz w:val="20"/>
                <w:szCs w:val="20"/>
              </w:rPr>
              <w:t>Nord</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36790F8" w14:textId="77777777" w:rsidR="0091213F" w:rsidRDefault="00000000">
            <w:r>
              <w:rPr>
                <w:rFonts w:ascii="Arial" w:eastAsia="Arial" w:hAnsi="Arial" w:cs="Arial"/>
                <w:b/>
                <w:bCs/>
                <w:color w:val="000000"/>
                <w:sz w:val="20"/>
                <w:szCs w:val="20"/>
              </w:rPr>
              <w:t>2,31 %</w:t>
            </w:r>
          </w:p>
        </w:tc>
        <w:tc>
          <w:tcPr>
            <w:tcW w:w="50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7314A1E" w14:textId="77777777" w:rsidR="0091213F" w:rsidRDefault="00000000">
            <w:r>
              <w:rPr>
                <w:color w:val="000000"/>
                <w:sz w:val="20"/>
                <w:szCs w:val="20"/>
              </w:rPr>
              <w:t>Pays d'étude — double rôle IFDI/OFDI</w:t>
            </w:r>
          </w:p>
        </w:tc>
      </w:tr>
      <w:tr w:rsidR="0091213F" w14:paraId="1F6033F5" w14:textId="77777777">
        <w:tc>
          <w:tcPr>
            <w:tcW w:w="4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2CFB6D9" w14:textId="77777777" w:rsidR="0091213F" w:rsidRDefault="00000000">
            <w:r>
              <w:rPr>
                <w:color w:val="000000"/>
                <w:sz w:val="20"/>
                <w:szCs w:val="20"/>
              </w:rPr>
              <w:t>2</w:t>
            </w:r>
          </w:p>
        </w:tc>
        <w:tc>
          <w:tcPr>
            <w:tcW w:w="1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5A68CB4" w14:textId="77777777" w:rsidR="0091213F" w:rsidRDefault="00000000">
            <w:r>
              <w:rPr>
                <w:color w:val="000000"/>
                <w:sz w:val="20"/>
                <w:szCs w:val="20"/>
              </w:rPr>
              <w:t>Algérie</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170C87A" w14:textId="77777777" w:rsidR="0091213F" w:rsidRDefault="00000000">
            <w:r>
              <w:rPr>
                <w:color w:val="000000"/>
                <w:sz w:val="20"/>
                <w:szCs w:val="20"/>
              </w:rPr>
              <w:t>Nord</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EC7F087" w14:textId="77777777" w:rsidR="0091213F" w:rsidRDefault="00000000">
            <w:r>
              <w:rPr>
                <w:color w:val="000000"/>
                <w:sz w:val="20"/>
                <w:szCs w:val="20"/>
              </w:rPr>
              <w:t>1,51 %</w:t>
            </w:r>
          </w:p>
        </w:tc>
        <w:tc>
          <w:tcPr>
            <w:tcW w:w="50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763166E" w14:textId="77777777" w:rsidR="0091213F" w:rsidRDefault="00000000">
            <w:r>
              <w:rPr>
                <w:color w:val="000000"/>
                <w:sz w:val="20"/>
                <w:szCs w:val="20"/>
              </w:rPr>
              <w:t>Hydrocarbures, forte contrainte réglementaire</w:t>
            </w:r>
          </w:p>
        </w:tc>
      </w:tr>
      <w:tr w:rsidR="0091213F" w14:paraId="105FC5A0" w14:textId="77777777">
        <w:tc>
          <w:tcPr>
            <w:tcW w:w="4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8B6081C" w14:textId="77777777" w:rsidR="0091213F" w:rsidRDefault="00000000">
            <w:r>
              <w:rPr>
                <w:color w:val="000000"/>
                <w:sz w:val="20"/>
                <w:szCs w:val="20"/>
              </w:rPr>
              <w:t>3</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A61E64D" w14:textId="77777777" w:rsidR="0091213F" w:rsidRDefault="00000000">
            <w:r>
              <w:rPr>
                <w:color w:val="000000"/>
                <w:sz w:val="20"/>
                <w:szCs w:val="20"/>
              </w:rPr>
              <w:t>Tunisie</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8CCE06D" w14:textId="77777777" w:rsidR="0091213F" w:rsidRDefault="00000000">
            <w:r>
              <w:rPr>
                <w:color w:val="000000"/>
                <w:sz w:val="20"/>
                <w:szCs w:val="20"/>
              </w:rPr>
              <w:t>Nord</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6CAA83E" w14:textId="77777777" w:rsidR="0091213F" w:rsidRDefault="00000000">
            <w:r>
              <w:rPr>
                <w:color w:val="000000"/>
                <w:sz w:val="20"/>
                <w:szCs w:val="20"/>
              </w:rPr>
              <w:t>2,63 %</w:t>
            </w:r>
          </w:p>
        </w:tc>
        <w:tc>
          <w:tcPr>
            <w:tcW w:w="50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7A5028D" w14:textId="77777777" w:rsidR="0091213F" w:rsidRDefault="00000000">
            <w:r>
              <w:rPr>
                <w:color w:val="000000"/>
                <w:sz w:val="20"/>
                <w:szCs w:val="20"/>
              </w:rPr>
              <w:t>Profil similaire Maroc — comparateur clé</w:t>
            </w:r>
          </w:p>
        </w:tc>
      </w:tr>
      <w:tr w:rsidR="0091213F" w14:paraId="08C902D6" w14:textId="77777777">
        <w:tc>
          <w:tcPr>
            <w:tcW w:w="4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52D3BE7" w14:textId="77777777" w:rsidR="0091213F" w:rsidRDefault="00000000">
            <w:r>
              <w:rPr>
                <w:color w:val="000000"/>
                <w:sz w:val="20"/>
                <w:szCs w:val="20"/>
              </w:rPr>
              <w:t>4</w:t>
            </w:r>
          </w:p>
        </w:tc>
        <w:tc>
          <w:tcPr>
            <w:tcW w:w="1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35FF045" w14:textId="77777777" w:rsidR="0091213F" w:rsidRDefault="00000000">
            <w:r>
              <w:rPr>
                <w:color w:val="000000"/>
                <w:sz w:val="20"/>
                <w:szCs w:val="20"/>
              </w:rPr>
              <w:t>Égypte</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29181B9" w14:textId="77777777" w:rsidR="0091213F" w:rsidRDefault="00000000">
            <w:r>
              <w:rPr>
                <w:color w:val="000000"/>
                <w:sz w:val="20"/>
                <w:szCs w:val="20"/>
              </w:rPr>
              <w:t>Nord</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32A7D62" w14:textId="77777777" w:rsidR="0091213F" w:rsidRDefault="00000000">
            <w:r>
              <w:rPr>
                <w:color w:val="000000"/>
                <w:sz w:val="20"/>
                <w:szCs w:val="20"/>
              </w:rPr>
              <w:t>2,86 %</w:t>
            </w:r>
          </w:p>
        </w:tc>
        <w:tc>
          <w:tcPr>
            <w:tcW w:w="50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018F702" w14:textId="77777777" w:rsidR="0091213F" w:rsidRDefault="00000000">
            <w:r>
              <w:rPr>
                <w:color w:val="000000"/>
                <w:sz w:val="20"/>
                <w:szCs w:val="20"/>
              </w:rPr>
              <w:t>Grand marché, ressources pétrolières</w:t>
            </w:r>
          </w:p>
        </w:tc>
      </w:tr>
      <w:tr w:rsidR="0091213F" w14:paraId="29B5D0C9" w14:textId="77777777">
        <w:tc>
          <w:tcPr>
            <w:tcW w:w="4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27E9001" w14:textId="77777777" w:rsidR="0091213F" w:rsidRDefault="00000000">
            <w:r>
              <w:rPr>
                <w:color w:val="000000"/>
                <w:sz w:val="20"/>
                <w:szCs w:val="20"/>
              </w:rPr>
              <w:t>5</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C673C0B" w14:textId="77777777" w:rsidR="0091213F" w:rsidRDefault="00000000">
            <w:r>
              <w:rPr>
                <w:color w:val="000000"/>
                <w:sz w:val="20"/>
                <w:szCs w:val="20"/>
              </w:rPr>
              <w:t>Nigéria</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4F776F5A" w14:textId="77777777" w:rsidR="0091213F" w:rsidRDefault="00000000">
            <w:r>
              <w:rPr>
                <w:color w:val="000000"/>
                <w:sz w:val="20"/>
                <w:szCs w:val="20"/>
              </w:rPr>
              <w:t>Ouest</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3F7A531" w14:textId="77777777" w:rsidR="0091213F" w:rsidRDefault="00000000">
            <w:r>
              <w:rPr>
                <w:color w:val="000000"/>
                <w:sz w:val="20"/>
                <w:szCs w:val="20"/>
              </w:rPr>
              <w:t>2,24 %</w:t>
            </w:r>
          </w:p>
        </w:tc>
        <w:tc>
          <w:tcPr>
            <w:tcW w:w="50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E8905F1" w14:textId="77777777" w:rsidR="0091213F" w:rsidRDefault="00000000">
            <w:r>
              <w:rPr>
                <w:color w:val="000000"/>
                <w:sz w:val="20"/>
                <w:szCs w:val="20"/>
              </w:rPr>
              <w:t>1ère économie africaine, pétrole dominant</w:t>
            </w:r>
          </w:p>
        </w:tc>
      </w:tr>
      <w:tr w:rsidR="0091213F" w:rsidRPr="00701D95" w14:paraId="166FCB2F" w14:textId="77777777">
        <w:tc>
          <w:tcPr>
            <w:tcW w:w="4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3F176784" w14:textId="77777777" w:rsidR="0091213F" w:rsidRDefault="00000000">
            <w:r>
              <w:rPr>
                <w:color w:val="000000"/>
                <w:sz w:val="20"/>
                <w:szCs w:val="20"/>
              </w:rPr>
              <w:t>6</w:t>
            </w:r>
          </w:p>
        </w:tc>
        <w:tc>
          <w:tcPr>
            <w:tcW w:w="1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FEB0B24" w14:textId="77777777" w:rsidR="0091213F" w:rsidRDefault="00000000">
            <w:r>
              <w:rPr>
                <w:color w:val="000000"/>
                <w:sz w:val="20"/>
                <w:szCs w:val="20"/>
              </w:rPr>
              <w:t>Ghana</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7175C43" w14:textId="77777777" w:rsidR="0091213F" w:rsidRDefault="00000000">
            <w:r>
              <w:rPr>
                <w:color w:val="000000"/>
                <w:sz w:val="20"/>
                <w:szCs w:val="20"/>
              </w:rPr>
              <w:t>Ouest</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63B5DAA" w14:textId="77777777" w:rsidR="0091213F" w:rsidRDefault="00000000">
            <w:r>
              <w:rPr>
                <w:color w:val="000000"/>
                <w:sz w:val="20"/>
                <w:szCs w:val="20"/>
              </w:rPr>
              <w:t>5,85 %</w:t>
            </w:r>
          </w:p>
        </w:tc>
        <w:tc>
          <w:tcPr>
            <w:tcW w:w="50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3E852F2E" w14:textId="77777777" w:rsidR="0091213F" w:rsidRPr="00710AE3" w:rsidRDefault="00000000">
            <w:pPr>
              <w:rPr>
                <w:lang w:val="en-US"/>
              </w:rPr>
            </w:pPr>
            <w:r>
              <w:rPr>
                <w:color w:val="000000"/>
                <w:sz w:val="20"/>
                <w:szCs w:val="20"/>
                <w:lang w:val="en-US"/>
              </w:rPr>
              <w:t>Or, cacao, gaz offshore post-2010</w:t>
            </w:r>
          </w:p>
        </w:tc>
      </w:tr>
      <w:tr w:rsidR="0091213F" w14:paraId="01A4ABEE" w14:textId="77777777">
        <w:tc>
          <w:tcPr>
            <w:tcW w:w="4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9D28AE3" w14:textId="77777777" w:rsidR="0091213F" w:rsidRDefault="00000000">
            <w:r>
              <w:rPr>
                <w:color w:val="000000"/>
                <w:sz w:val="20"/>
                <w:szCs w:val="20"/>
              </w:rPr>
              <w:t>7</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D2704DF" w14:textId="77777777" w:rsidR="0091213F" w:rsidRDefault="00000000">
            <w:r>
              <w:rPr>
                <w:color w:val="000000"/>
                <w:sz w:val="20"/>
                <w:szCs w:val="20"/>
              </w:rPr>
              <w:t>Côte d'Ivoire</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CF2DA1E" w14:textId="77777777" w:rsidR="0091213F" w:rsidRDefault="00000000">
            <w:r>
              <w:rPr>
                <w:color w:val="000000"/>
                <w:sz w:val="20"/>
                <w:szCs w:val="20"/>
              </w:rPr>
              <w:t>Ouest</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BA69B85" w14:textId="77777777" w:rsidR="0091213F" w:rsidRDefault="00000000">
            <w:r>
              <w:rPr>
                <w:color w:val="000000"/>
                <w:sz w:val="20"/>
                <w:szCs w:val="20"/>
              </w:rPr>
              <w:t>2,42 %</w:t>
            </w:r>
          </w:p>
        </w:tc>
        <w:tc>
          <w:tcPr>
            <w:tcW w:w="50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1A9295C" w14:textId="77777777" w:rsidR="0091213F" w:rsidRDefault="00000000">
            <w:r>
              <w:rPr>
                <w:color w:val="000000"/>
                <w:sz w:val="20"/>
                <w:szCs w:val="20"/>
              </w:rPr>
              <w:t>Hub UEMOA, cible IDE marocains</w:t>
            </w:r>
          </w:p>
        </w:tc>
      </w:tr>
      <w:tr w:rsidR="0091213F" w14:paraId="0FA8DA5B" w14:textId="77777777">
        <w:tc>
          <w:tcPr>
            <w:tcW w:w="4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5648688" w14:textId="77777777" w:rsidR="0091213F" w:rsidRDefault="00000000">
            <w:r>
              <w:rPr>
                <w:color w:val="000000"/>
                <w:sz w:val="20"/>
                <w:szCs w:val="20"/>
              </w:rPr>
              <w:t>8</w:t>
            </w:r>
          </w:p>
        </w:tc>
        <w:tc>
          <w:tcPr>
            <w:tcW w:w="1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C89C44F" w14:textId="77777777" w:rsidR="0091213F" w:rsidRDefault="00000000">
            <w:r>
              <w:rPr>
                <w:color w:val="000000"/>
                <w:sz w:val="20"/>
                <w:szCs w:val="20"/>
              </w:rPr>
              <w:t>Sénégal</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C3CD2D1" w14:textId="77777777" w:rsidR="0091213F" w:rsidRDefault="00000000">
            <w:r>
              <w:rPr>
                <w:color w:val="000000"/>
                <w:sz w:val="20"/>
                <w:szCs w:val="20"/>
              </w:rPr>
              <w:t>Ouest</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4708263" w14:textId="77777777" w:rsidR="0091213F" w:rsidRDefault="00000000">
            <w:r>
              <w:rPr>
                <w:color w:val="000000"/>
                <w:sz w:val="20"/>
                <w:szCs w:val="20"/>
              </w:rPr>
              <w:t>3,12 %</w:t>
            </w:r>
          </w:p>
        </w:tc>
        <w:tc>
          <w:tcPr>
            <w:tcW w:w="50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B470C20" w14:textId="77777777" w:rsidR="0091213F" w:rsidRDefault="00000000">
            <w:r>
              <w:rPr>
                <w:color w:val="000000"/>
                <w:sz w:val="20"/>
                <w:szCs w:val="20"/>
              </w:rPr>
              <w:t>Stabilité politique, gaz offshore émergent</w:t>
            </w:r>
          </w:p>
        </w:tc>
      </w:tr>
      <w:tr w:rsidR="0091213F" w14:paraId="7F94E02B" w14:textId="77777777">
        <w:tc>
          <w:tcPr>
            <w:tcW w:w="4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5BCD8769" w14:textId="77777777" w:rsidR="0091213F" w:rsidRDefault="00000000">
            <w:r>
              <w:rPr>
                <w:color w:val="000000"/>
                <w:sz w:val="20"/>
                <w:szCs w:val="20"/>
              </w:rPr>
              <w:t>9</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6D0A361" w14:textId="77777777" w:rsidR="0091213F" w:rsidRDefault="00000000">
            <w:r>
              <w:rPr>
                <w:color w:val="000000"/>
                <w:sz w:val="20"/>
                <w:szCs w:val="20"/>
              </w:rPr>
              <w:t>Kenya</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D18B115" w14:textId="77777777" w:rsidR="0091213F" w:rsidRDefault="00000000">
            <w:r>
              <w:rPr>
                <w:color w:val="000000"/>
                <w:sz w:val="20"/>
                <w:szCs w:val="20"/>
              </w:rPr>
              <w:t>Est</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74E3B62" w14:textId="77777777" w:rsidR="0091213F" w:rsidRDefault="00000000">
            <w:r>
              <w:rPr>
                <w:color w:val="000000"/>
                <w:sz w:val="20"/>
                <w:szCs w:val="20"/>
              </w:rPr>
              <w:t>2,74 %</w:t>
            </w:r>
          </w:p>
        </w:tc>
        <w:tc>
          <w:tcPr>
            <w:tcW w:w="50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F4906C1" w14:textId="77777777" w:rsidR="0091213F" w:rsidRDefault="00000000">
            <w:r>
              <w:rPr>
                <w:color w:val="000000"/>
                <w:sz w:val="20"/>
                <w:szCs w:val="20"/>
              </w:rPr>
              <w:t>Hub régional, télécoms, fintech</w:t>
            </w:r>
          </w:p>
        </w:tc>
      </w:tr>
      <w:tr w:rsidR="0091213F" w14:paraId="7534A108" w14:textId="77777777">
        <w:tc>
          <w:tcPr>
            <w:tcW w:w="4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D68CB75" w14:textId="77777777" w:rsidR="0091213F" w:rsidRDefault="00000000">
            <w:r>
              <w:rPr>
                <w:color w:val="000000"/>
                <w:sz w:val="20"/>
                <w:szCs w:val="20"/>
              </w:rPr>
              <w:t>10</w:t>
            </w:r>
          </w:p>
        </w:tc>
        <w:tc>
          <w:tcPr>
            <w:tcW w:w="1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8520878" w14:textId="77777777" w:rsidR="0091213F" w:rsidRDefault="00000000">
            <w:r>
              <w:rPr>
                <w:color w:val="000000"/>
                <w:sz w:val="20"/>
                <w:szCs w:val="20"/>
              </w:rPr>
              <w:t>Éthiopie</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E1BA994" w14:textId="77777777" w:rsidR="0091213F" w:rsidRDefault="00000000">
            <w:r>
              <w:rPr>
                <w:color w:val="000000"/>
                <w:sz w:val="20"/>
                <w:szCs w:val="20"/>
              </w:rPr>
              <w:t>Est</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6455F45" w14:textId="77777777" w:rsidR="0091213F" w:rsidRDefault="00000000">
            <w:r>
              <w:rPr>
                <w:color w:val="000000"/>
                <w:sz w:val="20"/>
                <w:szCs w:val="20"/>
              </w:rPr>
              <w:t>4,21 %</w:t>
            </w:r>
          </w:p>
        </w:tc>
        <w:tc>
          <w:tcPr>
            <w:tcW w:w="50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E649EFF" w14:textId="77777777" w:rsidR="0091213F" w:rsidRDefault="00000000">
            <w:r>
              <w:rPr>
                <w:color w:val="000000"/>
                <w:sz w:val="20"/>
                <w:szCs w:val="20"/>
              </w:rPr>
              <w:t>Croissance &gt;7 %/an, IDE manufacturing</w:t>
            </w:r>
          </w:p>
        </w:tc>
      </w:tr>
      <w:tr w:rsidR="0091213F" w14:paraId="6BF57C5E" w14:textId="77777777">
        <w:tc>
          <w:tcPr>
            <w:tcW w:w="4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F12AE9B" w14:textId="77777777" w:rsidR="0091213F" w:rsidRDefault="00000000">
            <w:r>
              <w:rPr>
                <w:color w:val="000000"/>
                <w:sz w:val="20"/>
                <w:szCs w:val="20"/>
              </w:rPr>
              <w:t>11</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AC17682" w14:textId="77777777" w:rsidR="0091213F" w:rsidRDefault="00000000">
            <w:r>
              <w:rPr>
                <w:color w:val="000000"/>
                <w:sz w:val="20"/>
                <w:szCs w:val="20"/>
              </w:rPr>
              <w:t>Tanzanie</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AEC18FE" w14:textId="77777777" w:rsidR="0091213F" w:rsidRDefault="00000000">
            <w:r>
              <w:rPr>
                <w:color w:val="000000"/>
                <w:sz w:val="20"/>
                <w:szCs w:val="20"/>
              </w:rPr>
              <w:t>Est</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E8791DB" w14:textId="77777777" w:rsidR="0091213F" w:rsidRDefault="00000000">
            <w:r>
              <w:rPr>
                <w:color w:val="000000"/>
                <w:sz w:val="20"/>
                <w:szCs w:val="20"/>
              </w:rPr>
              <w:t>3,83 %</w:t>
            </w:r>
          </w:p>
        </w:tc>
        <w:tc>
          <w:tcPr>
            <w:tcW w:w="50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1F34046" w14:textId="77777777" w:rsidR="0091213F" w:rsidRDefault="00000000">
            <w:r>
              <w:rPr>
                <w:color w:val="000000"/>
                <w:sz w:val="20"/>
                <w:szCs w:val="20"/>
              </w:rPr>
              <w:t>Or, gaz naturel, tourisme</w:t>
            </w:r>
          </w:p>
        </w:tc>
      </w:tr>
      <w:tr w:rsidR="0091213F" w14:paraId="2D58ACD1" w14:textId="77777777">
        <w:tc>
          <w:tcPr>
            <w:tcW w:w="4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3B1122B" w14:textId="77777777" w:rsidR="0091213F" w:rsidRDefault="00000000">
            <w:r>
              <w:rPr>
                <w:color w:val="000000"/>
                <w:sz w:val="20"/>
                <w:szCs w:val="20"/>
              </w:rPr>
              <w:t>12</w:t>
            </w:r>
          </w:p>
        </w:tc>
        <w:tc>
          <w:tcPr>
            <w:tcW w:w="1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B12DB4D" w14:textId="77777777" w:rsidR="0091213F" w:rsidRDefault="00000000">
            <w:r>
              <w:rPr>
                <w:color w:val="000000"/>
                <w:sz w:val="20"/>
                <w:szCs w:val="20"/>
              </w:rPr>
              <w:t>Rwanda</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1D741774" w14:textId="77777777" w:rsidR="0091213F" w:rsidRDefault="00000000">
            <w:r>
              <w:rPr>
                <w:color w:val="000000"/>
                <w:sz w:val="20"/>
                <w:szCs w:val="20"/>
              </w:rPr>
              <w:t>Est</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9B487FF" w14:textId="77777777" w:rsidR="0091213F" w:rsidRDefault="00000000">
            <w:r>
              <w:rPr>
                <w:color w:val="000000"/>
                <w:sz w:val="20"/>
                <w:szCs w:val="20"/>
              </w:rPr>
              <w:t>4,93 %</w:t>
            </w:r>
          </w:p>
        </w:tc>
        <w:tc>
          <w:tcPr>
            <w:tcW w:w="50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6DD206B8" w14:textId="77777777" w:rsidR="0091213F" w:rsidRDefault="00000000">
            <w:r>
              <w:rPr>
                <w:color w:val="000000"/>
                <w:sz w:val="20"/>
                <w:szCs w:val="20"/>
              </w:rPr>
              <w:t>Gouvernance la plus élevée du panel</w:t>
            </w:r>
          </w:p>
        </w:tc>
      </w:tr>
      <w:tr w:rsidR="0091213F" w14:paraId="785DA582" w14:textId="77777777">
        <w:tc>
          <w:tcPr>
            <w:tcW w:w="4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DEA9E06" w14:textId="77777777" w:rsidR="0091213F" w:rsidRDefault="00000000">
            <w:r>
              <w:rPr>
                <w:color w:val="000000"/>
                <w:sz w:val="20"/>
                <w:szCs w:val="20"/>
              </w:rPr>
              <w:t>13</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6CBD2CAF" w14:textId="77777777" w:rsidR="0091213F" w:rsidRDefault="00000000">
            <w:r>
              <w:rPr>
                <w:color w:val="000000"/>
                <w:sz w:val="20"/>
                <w:szCs w:val="20"/>
              </w:rPr>
              <w:t>Cameroun</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06833FB" w14:textId="77777777" w:rsidR="0091213F" w:rsidRDefault="00000000">
            <w:r>
              <w:rPr>
                <w:color w:val="000000"/>
                <w:sz w:val="20"/>
                <w:szCs w:val="20"/>
              </w:rPr>
              <w:t>Central</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89EE825" w14:textId="77777777" w:rsidR="0091213F" w:rsidRDefault="00000000">
            <w:r>
              <w:rPr>
                <w:color w:val="000000"/>
                <w:sz w:val="20"/>
                <w:szCs w:val="20"/>
              </w:rPr>
              <w:t>2,91 %</w:t>
            </w:r>
          </w:p>
        </w:tc>
        <w:tc>
          <w:tcPr>
            <w:tcW w:w="50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33CA39D" w14:textId="77777777" w:rsidR="0091213F" w:rsidRDefault="00000000">
            <w:r>
              <w:rPr>
                <w:color w:val="000000"/>
                <w:sz w:val="20"/>
                <w:szCs w:val="20"/>
              </w:rPr>
              <w:t>Hub CEMAC, pétrole, cacao</w:t>
            </w:r>
          </w:p>
        </w:tc>
      </w:tr>
      <w:tr w:rsidR="0091213F" w14:paraId="2F849382" w14:textId="77777777">
        <w:tc>
          <w:tcPr>
            <w:tcW w:w="4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3BA36696" w14:textId="77777777" w:rsidR="0091213F" w:rsidRDefault="00000000">
            <w:r>
              <w:rPr>
                <w:color w:val="000000"/>
                <w:sz w:val="20"/>
                <w:szCs w:val="20"/>
              </w:rPr>
              <w:t>14</w:t>
            </w:r>
          </w:p>
        </w:tc>
        <w:tc>
          <w:tcPr>
            <w:tcW w:w="1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06A353CD" w14:textId="77777777" w:rsidR="0091213F" w:rsidRDefault="00000000">
            <w:r>
              <w:rPr>
                <w:color w:val="000000"/>
                <w:sz w:val="20"/>
                <w:szCs w:val="20"/>
              </w:rPr>
              <w:t>Gabon</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2D281A4" w14:textId="77777777" w:rsidR="0091213F" w:rsidRDefault="00000000">
            <w:r>
              <w:rPr>
                <w:color w:val="000000"/>
                <w:sz w:val="20"/>
                <w:szCs w:val="20"/>
              </w:rPr>
              <w:t>Central</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0C443D3" w14:textId="77777777" w:rsidR="0091213F" w:rsidRDefault="00000000">
            <w:r>
              <w:rPr>
                <w:color w:val="000000"/>
                <w:sz w:val="20"/>
                <w:szCs w:val="20"/>
              </w:rPr>
              <w:t>3,52 %</w:t>
            </w:r>
          </w:p>
        </w:tc>
        <w:tc>
          <w:tcPr>
            <w:tcW w:w="50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246AC7ED" w14:textId="77777777" w:rsidR="0091213F" w:rsidRDefault="00000000">
            <w:r>
              <w:rPr>
                <w:color w:val="000000"/>
                <w:sz w:val="20"/>
                <w:szCs w:val="20"/>
              </w:rPr>
              <w:t>Pétrole, ZES Libreville</w:t>
            </w:r>
          </w:p>
        </w:tc>
      </w:tr>
      <w:tr w:rsidR="0091213F" w14:paraId="1C8BDB83" w14:textId="77777777">
        <w:tc>
          <w:tcPr>
            <w:tcW w:w="4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C1BB5DA" w14:textId="77777777" w:rsidR="0091213F" w:rsidRDefault="00000000">
            <w:r>
              <w:rPr>
                <w:color w:val="000000"/>
                <w:sz w:val="20"/>
                <w:szCs w:val="20"/>
              </w:rPr>
              <w:t>15</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1E1C1496" w14:textId="77777777" w:rsidR="0091213F" w:rsidRDefault="00000000">
            <w:r>
              <w:rPr>
                <w:color w:val="000000"/>
                <w:sz w:val="20"/>
                <w:szCs w:val="20"/>
              </w:rPr>
              <w:t>Afrique du Sud</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364E6E4C" w14:textId="77777777" w:rsidR="0091213F" w:rsidRDefault="00000000">
            <w:r>
              <w:rPr>
                <w:color w:val="000000"/>
                <w:sz w:val="20"/>
                <w:szCs w:val="20"/>
              </w:rPr>
              <w:t>Austral</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9EA2F19" w14:textId="77777777" w:rsidR="0091213F" w:rsidRDefault="00000000">
            <w:r>
              <w:rPr>
                <w:color w:val="000000"/>
                <w:sz w:val="20"/>
                <w:szCs w:val="20"/>
              </w:rPr>
              <w:t>1,64 %</w:t>
            </w:r>
          </w:p>
        </w:tc>
        <w:tc>
          <w:tcPr>
            <w:tcW w:w="50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281DDBF4" w14:textId="77777777" w:rsidR="0091213F" w:rsidRDefault="00000000">
            <w:r>
              <w:rPr>
                <w:color w:val="000000"/>
                <w:sz w:val="20"/>
                <w:szCs w:val="20"/>
              </w:rPr>
              <w:t>1er marché financier africain</w:t>
            </w:r>
          </w:p>
        </w:tc>
      </w:tr>
      <w:tr w:rsidR="0091213F" w14:paraId="00AFF759" w14:textId="77777777">
        <w:tc>
          <w:tcPr>
            <w:tcW w:w="4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3C70E916" w14:textId="77777777" w:rsidR="0091213F" w:rsidRDefault="00000000">
            <w:r>
              <w:rPr>
                <w:color w:val="000000"/>
                <w:sz w:val="20"/>
                <w:szCs w:val="20"/>
              </w:rPr>
              <w:t>16</w:t>
            </w:r>
          </w:p>
        </w:tc>
        <w:tc>
          <w:tcPr>
            <w:tcW w:w="15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2AAC92F" w14:textId="77777777" w:rsidR="0091213F" w:rsidRDefault="00000000">
            <w:r>
              <w:rPr>
                <w:color w:val="000000"/>
                <w:sz w:val="20"/>
                <w:szCs w:val="20"/>
              </w:rPr>
              <w:t>Zambie</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7CF4E1E4" w14:textId="77777777" w:rsidR="0091213F" w:rsidRDefault="00000000">
            <w:r>
              <w:rPr>
                <w:color w:val="000000"/>
                <w:sz w:val="20"/>
                <w:szCs w:val="20"/>
              </w:rPr>
              <w:t>Austral</w:t>
            </w:r>
          </w:p>
        </w:tc>
        <w:tc>
          <w:tcPr>
            <w:tcW w:w="1100"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598AF584" w14:textId="77777777" w:rsidR="0091213F" w:rsidRDefault="00000000">
            <w:r>
              <w:rPr>
                <w:color w:val="000000"/>
                <w:sz w:val="20"/>
                <w:szCs w:val="20"/>
              </w:rPr>
              <w:t>6,95 %</w:t>
            </w:r>
          </w:p>
        </w:tc>
        <w:tc>
          <w:tcPr>
            <w:tcW w:w="5071" w:type="dxa"/>
            <w:tcBorders>
              <w:top w:val="single" w:sz="6" w:space="0" w:color="E8E4DF"/>
              <w:left w:val="single" w:sz="6" w:space="0" w:color="E8E4DF"/>
              <w:bottom w:val="single" w:sz="6" w:space="0" w:color="E8E4DF"/>
              <w:right w:val="single" w:sz="6" w:space="0" w:color="E8E4DF"/>
            </w:tcBorders>
            <w:shd w:val="clear" w:color="auto" w:fill="F8F4EF"/>
            <w:tcMar>
              <w:top w:w="80" w:type="dxa"/>
              <w:left w:w="120" w:type="dxa"/>
              <w:bottom w:w="80" w:type="dxa"/>
              <w:right w:w="120" w:type="dxa"/>
            </w:tcMar>
            <w:vAlign w:val="center"/>
          </w:tcPr>
          <w:p w14:paraId="42F9B560" w14:textId="77777777" w:rsidR="0091213F" w:rsidRDefault="00000000">
            <w:r>
              <w:rPr>
                <w:color w:val="000000"/>
                <w:sz w:val="20"/>
                <w:szCs w:val="20"/>
              </w:rPr>
              <w:t>Cuivre — IDE extractif dominant</w:t>
            </w:r>
          </w:p>
        </w:tc>
      </w:tr>
      <w:tr w:rsidR="0091213F" w14:paraId="7D3EF136" w14:textId="77777777">
        <w:tc>
          <w:tcPr>
            <w:tcW w:w="4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9B0D224" w14:textId="77777777" w:rsidR="0091213F" w:rsidRDefault="00000000">
            <w:r>
              <w:rPr>
                <w:color w:val="000000"/>
                <w:sz w:val="20"/>
                <w:szCs w:val="20"/>
              </w:rPr>
              <w:t>17</w:t>
            </w:r>
          </w:p>
        </w:tc>
        <w:tc>
          <w:tcPr>
            <w:tcW w:w="15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F7AB3DB" w14:textId="77777777" w:rsidR="0091213F" w:rsidRDefault="00000000">
            <w:r>
              <w:rPr>
                <w:color w:val="000000"/>
                <w:sz w:val="20"/>
                <w:szCs w:val="20"/>
              </w:rPr>
              <w:t>Zimbabwe</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152927A" w14:textId="77777777" w:rsidR="0091213F" w:rsidRDefault="00000000">
            <w:r>
              <w:rPr>
                <w:color w:val="000000"/>
                <w:sz w:val="20"/>
                <w:szCs w:val="20"/>
              </w:rPr>
              <w:t>Austral</w:t>
            </w:r>
          </w:p>
        </w:tc>
        <w:tc>
          <w:tcPr>
            <w:tcW w:w="1100"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07CA3BD3" w14:textId="77777777" w:rsidR="0091213F" w:rsidRDefault="00000000">
            <w:r>
              <w:rPr>
                <w:color w:val="000000"/>
                <w:sz w:val="20"/>
                <w:szCs w:val="20"/>
              </w:rPr>
              <w:t>2,38 %</w:t>
            </w:r>
          </w:p>
        </w:tc>
        <w:tc>
          <w:tcPr>
            <w:tcW w:w="5071" w:type="dxa"/>
            <w:tcBorders>
              <w:top w:val="single" w:sz="6" w:space="0" w:color="E8E4DF"/>
              <w:left w:val="single" w:sz="6" w:space="0" w:color="E8E4DF"/>
              <w:bottom w:val="single" w:sz="6" w:space="0" w:color="E8E4DF"/>
              <w:right w:val="single" w:sz="6" w:space="0" w:color="E8E4DF"/>
            </w:tcBorders>
            <w:shd w:val="clear" w:color="auto" w:fill="FFFFFF"/>
            <w:tcMar>
              <w:top w:w="80" w:type="dxa"/>
              <w:left w:w="120" w:type="dxa"/>
              <w:bottom w:w="80" w:type="dxa"/>
              <w:right w:w="120" w:type="dxa"/>
            </w:tcMar>
            <w:vAlign w:val="center"/>
          </w:tcPr>
          <w:p w14:paraId="7465B789" w14:textId="77777777" w:rsidR="0091213F" w:rsidRDefault="00000000">
            <w:r>
              <w:rPr>
                <w:color w:val="000000"/>
                <w:sz w:val="20"/>
                <w:szCs w:val="20"/>
              </w:rPr>
              <w:t>Post-hyperinflation, dollarisation</w:t>
            </w:r>
          </w:p>
        </w:tc>
      </w:tr>
    </w:tbl>
    <w:p w14:paraId="72B89AED" w14:textId="77777777" w:rsidR="0091213F" w:rsidRDefault="00000000">
      <w:pPr>
        <w:spacing w:before="80" w:after="200"/>
        <w:jc w:val="center"/>
      </w:pPr>
      <w:r>
        <w:rPr>
          <w:rFonts w:ascii="Arial" w:eastAsia="Arial" w:hAnsi="Arial" w:cs="Arial"/>
          <w:i/>
          <w:iCs/>
          <w:color w:val="6B7280"/>
          <w:sz w:val="18"/>
          <w:szCs w:val="18"/>
        </w:rPr>
        <w:t>Tableau A.1 — Panel de 17 pays africains — 391 observations effectives après traitement des NaN</w:t>
      </w:r>
    </w:p>
    <w:p w14:paraId="2F1C6F1C" w14:textId="77777777" w:rsidR="0091213F" w:rsidRDefault="0091213F">
      <w:pPr>
        <w:spacing w:before="60" w:after="60"/>
      </w:pPr>
    </w:p>
    <w:p w14:paraId="70DF4622" w14:textId="77777777" w:rsidR="0091213F" w:rsidRDefault="0091213F">
      <w:pPr>
        <w:spacing w:before="60" w:after="60"/>
      </w:pPr>
    </w:p>
    <w:sectPr w:rsidR="0091213F">
      <w:headerReference w:type="default" r:id="rId14"/>
      <w:footerReference w:type="default" r:id="rId15"/>
      <w:pgSz w:w="11906" w:h="16838"/>
      <w:pgMar w:top="1418" w:right="1134"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728FC" w14:textId="77777777" w:rsidR="00776240" w:rsidRDefault="00776240">
      <w:r>
        <w:separator/>
      </w:r>
    </w:p>
  </w:endnote>
  <w:endnote w:type="continuationSeparator" w:id="0">
    <w:p w14:paraId="2950DA81" w14:textId="77777777" w:rsidR="00776240" w:rsidRDefault="00776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886A" w14:textId="6ECE9AE2" w:rsidR="00710AE3" w:rsidRPr="00710AE3" w:rsidRDefault="00000000" w:rsidP="00710AE3">
    <w:pPr>
      <w:spacing w:before="180" w:after="40"/>
      <w:jc w:val="center"/>
      <w:rPr>
        <w:rFonts w:ascii="Arial" w:eastAsia="Arial" w:hAnsi="Arial" w:cs="Arial"/>
        <w:sz w:val="16"/>
        <w:szCs w:val="16"/>
      </w:rPr>
    </w:pPr>
    <w:r w:rsidRPr="00710AE3">
      <w:rPr>
        <w:rFonts w:ascii="Arial" w:eastAsia="Arial" w:hAnsi="Arial" w:cs="Arial"/>
        <w:sz w:val="17"/>
        <w:szCs w:val="17"/>
      </w:rPr>
      <w:t xml:space="preserve">Page </w:t>
    </w:r>
    <w:r w:rsidRPr="00710AE3">
      <w:rPr>
        <w:rFonts w:ascii="Arial" w:eastAsia="Arial" w:hAnsi="Arial" w:cs="Arial"/>
        <w:sz w:val="17"/>
        <w:szCs w:val="17"/>
      </w:rPr>
      <w:fldChar w:fldCharType="begin"/>
    </w:r>
    <w:r w:rsidRPr="00710AE3">
      <w:rPr>
        <w:rFonts w:ascii="Arial" w:eastAsia="Arial" w:hAnsi="Arial" w:cs="Arial"/>
        <w:sz w:val="17"/>
        <w:szCs w:val="17"/>
      </w:rPr>
      <w:instrText>PAGE</w:instrText>
    </w:r>
    <w:r w:rsidRPr="00710AE3">
      <w:rPr>
        <w:rFonts w:ascii="Arial" w:eastAsia="Arial" w:hAnsi="Arial" w:cs="Arial"/>
        <w:sz w:val="17"/>
        <w:szCs w:val="17"/>
      </w:rPr>
      <w:fldChar w:fldCharType="separate"/>
    </w:r>
    <w:r w:rsidR="00710AE3" w:rsidRPr="00710AE3">
      <w:rPr>
        <w:rFonts w:ascii="Arial" w:eastAsia="Arial" w:hAnsi="Arial" w:cs="Arial"/>
        <w:noProof/>
        <w:sz w:val="17"/>
        <w:szCs w:val="17"/>
      </w:rPr>
      <w:t>1</w:t>
    </w:r>
    <w:r w:rsidRPr="00710AE3">
      <w:rPr>
        <w:rFonts w:ascii="Arial" w:eastAsia="Arial" w:hAnsi="Arial" w:cs="Arial"/>
        <w:sz w:val="17"/>
        <w:szCs w:val="17"/>
      </w:rPr>
      <w:fldChar w:fldCharType="end"/>
    </w:r>
    <w:r w:rsidRPr="00710AE3">
      <w:rPr>
        <w:rFonts w:ascii="Arial" w:eastAsia="Arial" w:hAnsi="Arial" w:cs="Arial"/>
        <w:sz w:val="16"/>
        <w:szCs w:val="16"/>
      </w:rPr>
      <w:t xml:space="preserve">   |</w:t>
    </w:r>
    <w:r w:rsidR="002A2CB9" w:rsidRPr="002A2CB9">
      <w:rPr>
        <w:rFonts w:ascii="Arial" w:eastAsia="Arial" w:hAnsi="Arial" w:cs="Arial"/>
        <w:color w:val="6B7280"/>
        <w:sz w:val="18"/>
        <w:szCs w:val="18"/>
      </w:rPr>
      <w:t xml:space="preserve"> </w:t>
    </w:r>
    <w:r w:rsidR="002A2CB9">
      <w:rPr>
        <w:rFonts w:ascii="Arial" w:eastAsia="Arial" w:hAnsi="Arial" w:cs="Arial"/>
        <w:color w:val="6B7280"/>
        <w:sz w:val="18"/>
        <w:szCs w:val="18"/>
      </w:rPr>
      <w:t>Gestion-Finance — S8 -</w:t>
    </w:r>
    <w:r w:rsidRPr="00710AE3">
      <w:rPr>
        <w:rFonts w:ascii="Arial" w:eastAsia="Arial" w:hAnsi="Arial" w:cs="Arial"/>
        <w:sz w:val="16"/>
        <w:szCs w:val="16"/>
      </w:rPr>
      <w:t xml:space="preserve">   </w:t>
    </w:r>
    <w:r w:rsidR="00710AE3">
      <w:rPr>
        <w:rFonts w:ascii="Arial" w:eastAsia="Arial" w:hAnsi="Arial" w:cs="Arial"/>
        <w:b/>
        <w:bCs/>
        <w:color w:val="0D1B2A"/>
        <w:sz w:val="22"/>
        <w:szCs w:val="22"/>
      </w:rPr>
      <w:t>Année universitaire 2026</w:t>
    </w:r>
  </w:p>
  <w:p w14:paraId="339162A8" w14:textId="4F954521" w:rsidR="0091213F" w:rsidRPr="00710AE3" w:rsidRDefault="00710AE3" w:rsidP="00710AE3">
    <w:pPr>
      <w:jc w:val="center"/>
    </w:pPr>
    <w:r>
      <w:rPr>
        <w:rFonts w:ascii="Arial" w:eastAsia="Arial" w:hAnsi="Arial" w:cs="Arial"/>
        <w:i/>
        <w:iCs/>
        <w:color w:val="6B7280"/>
        <w:sz w:val="18"/>
        <w:szCs w:val="18"/>
      </w:rPr>
      <w:t xml:space="preserve">17 pays </w:t>
    </w:r>
    <w:proofErr w:type="gramStart"/>
    <w:r>
      <w:rPr>
        <w:rFonts w:ascii="Arial" w:eastAsia="Arial" w:hAnsi="Arial" w:cs="Arial"/>
        <w:i/>
        <w:iCs/>
        <w:color w:val="6B7280"/>
        <w:sz w:val="18"/>
        <w:szCs w:val="18"/>
      </w:rPr>
      <w:t>africains  ·</w:t>
    </w:r>
    <w:proofErr w:type="gramEnd"/>
    <w:r>
      <w:rPr>
        <w:rFonts w:ascii="Arial" w:eastAsia="Arial" w:hAnsi="Arial" w:cs="Arial"/>
        <w:i/>
        <w:iCs/>
        <w:color w:val="6B7280"/>
        <w:sz w:val="18"/>
        <w:szCs w:val="18"/>
      </w:rPr>
      <w:t xml:space="preserve">  2000–</w:t>
    </w:r>
    <w:proofErr w:type="gramStart"/>
    <w:r>
      <w:rPr>
        <w:rFonts w:ascii="Arial" w:eastAsia="Arial" w:hAnsi="Arial" w:cs="Arial"/>
        <w:i/>
        <w:iCs/>
        <w:color w:val="6B7280"/>
        <w:sz w:val="18"/>
        <w:szCs w:val="18"/>
      </w:rPr>
      <w:t>2022  ·</w:t>
    </w:r>
    <w:proofErr w:type="gramEnd"/>
    <w:r>
      <w:rPr>
        <w:rFonts w:ascii="Arial" w:eastAsia="Arial" w:hAnsi="Arial" w:cs="Arial"/>
        <w:i/>
        <w:iCs/>
        <w:color w:val="6B7280"/>
        <w:sz w:val="18"/>
        <w:szCs w:val="18"/>
      </w:rPr>
      <w:t xml:space="preserve">  391 </w:t>
    </w:r>
    <w:proofErr w:type="gramStart"/>
    <w:r>
      <w:rPr>
        <w:rFonts w:ascii="Arial" w:eastAsia="Arial" w:hAnsi="Arial" w:cs="Arial"/>
        <w:i/>
        <w:iCs/>
        <w:color w:val="6B7280"/>
        <w:sz w:val="18"/>
        <w:szCs w:val="18"/>
      </w:rPr>
      <w:t>observations  ·</w:t>
    </w:r>
    <w:proofErr w:type="gramEnd"/>
    <w:r>
      <w:rPr>
        <w:rFonts w:ascii="Arial" w:eastAsia="Arial" w:hAnsi="Arial" w:cs="Arial"/>
        <w:i/>
        <w:iCs/>
        <w:color w:val="6B7280"/>
        <w:sz w:val="18"/>
        <w:szCs w:val="18"/>
      </w:rPr>
      <w:t xml:space="preserve">  WDI / WGI / CNUCED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B9643" w14:textId="77777777" w:rsidR="00776240" w:rsidRDefault="00776240">
      <w:r>
        <w:separator/>
      </w:r>
    </w:p>
  </w:footnote>
  <w:footnote w:type="continuationSeparator" w:id="0">
    <w:p w14:paraId="14500070" w14:textId="77777777" w:rsidR="00776240" w:rsidRDefault="007762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5245"/>
      <w:gridCol w:w="2130"/>
    </w:tblGrid>
    <w:tr w:rsidR="00710AE3" w14:paraId="0D8A5509" w14:textId="77777777" w:rsidTr="00710AE3">
      <w:tc>
        <w:tcPr>
          <w:tcW w:w="1696" w:type="dxa"/>
        </w:tcPr>
        <w:p w14:paraId="783950F5" w14:textId="4EEF9201" w:rsidR="00710AE3" w:rsidRDefault="00710AE3" w:rsidP="00FE1938">
          <w:r>
            <w:rPr>
              <w:noProof/>
            </w:rPr>
            <w:drawing>
              <wp:inline distT="0" distB="0" distL="0" distR="0" wp14:anchorId="0EECE79B" wp14:editId="317DD4AA">
                <wp:extent cx="952500" cy="1009575"/>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56841" cy="1014177"/>
                        </a:xfrm>
                        <a:prstGeom prst="rect">
                          <a:avLst/>
                        </a:prstGeom>
                      </pic:spPr>
                    </pic:pic>
                  </a:graphicData>
                </a:graphic>
              </wp:inline>
            </w:drawing>
          </w:r>
        </w:p>
      </w:tc>
      <w:tc>
        <w:tcPr>
          <w:tcW w:w="5245" w:type="dxa"/>
        </w:tcPr>
        <w:p w14:paraId="1348A04A" w14:textId="77777777" w:rsidR="00710AE3" w:rsidRDefault="00710AE3" w:rsidP="00710AE3">
          <w:pPr>
            <w:spacing w:after="100"/>
            <w:jc w:val="center"/>
            <w:rPr>
              <w:rFonts w:ascii="Arial" w:eastAsia="Arial" w:hAnsi="Arial" w:cs="Arial"/>
              <w:caps/>
              <w:color w:val="6B7280"/>
              <w:sz w:val="17"/>
              <w:szCs w:val="17"/>
            </w:rPr>
          </w:pPr>
        </w:p>
        <w:p w14:paraId="1B932C19" w14:textId="77777777" w:rsidR="00710AE3" w:rsidRDefault="00710AE3" w:rsidP="00710AE3">
          <w:pPr>
            <w:spacing w:after="100"/>
            <w:jc w:val="center"/>
            <w:rPr>
              <w:rFonts w:ascii="Arial" w:eastAsia="Arial" w:hAnsi="Arial" w:cs="Arial"/>
              <w:caps/>
              <w:color w:val="6B7280"/>
              <w:sz w:val="17"/>
              <w:szCs w:val="17"/>
            </w:rPr>
          </w:pPr>
        </w:p>
        <w:p w14:paraId="05A657E1" w14:textId="52E61244" w:rsidR="00710AE3" w:rsidRDefault="00710AE3" w:rsidP="00710AE3">
          <w:pPr>
            <w:spacing w:after="100"/>
            <w:jc w:val="center"/>
            <w:rPr>
              <w:rFonts w:ascii="Arial" w:eastAsia="Arial" w:hAnsi="Arial" w:cs="Arial"/>
              <w:color w:val="2E5F8A"/>
              <w:sz w:val="17"/>
              <w:szCs w:val="17"/>
            </w:rPr>
          </w:pPr>
          <w:r>
            <w:rPr>
              <w:rFonts w:ascii="Arial" w:eastAsia="Arial" w:hAnsi="Arial" w:cs="Arial"/>
              <w:caps/>
              <w:color w:val="6B7280"/>
              <w:sz w:val="17"/>
              <w:szCs w:val="17"/>
            </w:rPr>
            <w:t>LES IDE AU MAROC EN AFRIQUE</w:t>
          </w:r>
        </w:p>
        <w:p w14:paraId="7CA271AB" w14:textId="69F0DBA2" w:rsidR="00710AE3" w:rsidRDefault="00710AE3" w:rsidP="00710AE3">
          <w:pPr>
            <w:spacing w:after="100"/>
            <w:jc w:val="center"/>
          </w:pPr>
          <w:r>
            <w:rPr>
              <w:rFonts w:ascii="Arial" w:eastAsia="Arial" w:hAnsi="Arial" w:cs="Arial"/>
              <w:color w:val="2E5F8A"/>
              <w:sz w:val="17"/>
              <w:szCs w:val="17"/>
            </w:rPr>
            <w:t>Finance Internationale — ENCG Settat 2026</w:t>
          </w:r>
        </w:p>
        <w:p w14:paraId="49E3D19F" w14:textId="77777777" w:rsidR="00710AE3" w:rsidRDefault="00710AE3" w:rsidP="00710AE3">
          <w:pPr>
            <w:spacing w:before="60" w:after="60"/>
          </w:pPr>
        </w:p>
      </w:tc>
      <w:tc>
        <w:tcPr>
          <w:tcW w:w="2130" w:type="dxa"/>
        </w:tcPr>
        <w:p w14:paraId="43ED9C19" w14:textId="77777777" w:rsidR="00710AE3" w:rsidRDefault="00710AE3" w:rsidP="00710AE3">
          <w:pPr>
            <w:spacing w:before="50"/>
            <w:jc w:val="center"/>
          </w:pPr>
          <w:r>
            <w:rPr>
              <w:noProof/>
            </w:rPr>
            <w:drawing>
              <wp:inline distT="0" distB="0" distL="0" distR="0" wp14:anchorId="43544FCE" wp14:editId="148667B5">
                <wp:extent cx="1303964" cy="1016000"/>
                <wp:effectExtent l="0" t="0" r="0" b="0"/>
                <wp:docPr id="1876017722" name="Image 187601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17722" name="Image 187601772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306232" cy="1017767"/>
                        </a:xfrm>
                        <a:prstGeom prst="rect">
                          <a:avLst/>
                        </a:prstGeom>
                      </pic:spPr>
                    </pic:pic>
                  </a:graphicData>
                </a:graphic>
              </wp:inline>
            </w:drawing>
          </w:r>
        </w:p>
      </w:tc>
    </w:tr>
  </w:tbl>
  <w:p w14:paraId="16099D3C" w14:textId="74E2E6CF" w:rsidR="0091213F" w:rsidRDefault="0091213F" w:rsidP="00710AE3">
    <w:pP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353"/>
    <w:multiLevelType w:val="hybridMultilevel"/>
    <w:tmpl w:val="32B4A158"/>
    <w:lvl w:ilvl="0" w:tplc="49A80ABE">
      <w:start w:val="1"/>
      <w:numFmt w:val="bullet"/>
      <w:lvlText w:val="●"/>
      <w:lvlJc w:val="left"/>
      <w:pPr>
        <w:ind w:left="720" w:hanging="360"/>
      </w:pPr>
    </w:lvl>
    <w:lvl w:ilvl="1" w:tplc="A0E2A9E8">
      <w:start w:val="1"/>
      <w:numFmt w:val="bullet"/>
      <w:lvlText w:val="○"/>
      <w:lvlJc w:val="left"/>
      <w:pPr>
        <w:ind w:left="1440" w:hanging="360"/>
      </w:pPr>
    </w:lvl>
    <w:lvl w:ilvl="2" w:tplc="C17C4318">
      <w:start w:val="1"/>
      <w:numFmt w:val="bullet"/>
      <w:lvlText w:val="■"/>
      <w:lvlJc w:val="left"/>
      <w:pPr>
        <w:ind w:left="2160" w:hanging="360"/>
      </w:pPr>
    </w:lvl>
    <w:lvl w:ilvl="3" w:tplc="720E02F2">
      <w:start w:val="1"/>
      <w:numFmt w:val="bullet"/>
      <w:lvlText w:val="●"/>
      <w:lvlJc w:val="left"/>
      <w:pPr>
        <w:ind w:left="2880" w:hanging="360"/>
      </w:pPr>
    </w:lvl>
    <w:lvl w:ilvl="4" w:tplc="42B2F2B0">
      <w:start w:val="1"/>
      <w:numFmt w:val="bullet"/>
      <w:lvlText w:val="○"/>
      <w:lvlJc w:val="left"/>
      <w:pPr>
        <w:ind w:left="3600" w:hanging="360"/>
      </w:pPr>
    </w:lvl>
    <w:lvl w:ilvl="5" w:tplc="DDF80B28">
      <w:start w:val="1"/>
      <w:numFmt w:val="bullet"/>
      <w:lvlText w:val="■"/>
      <w:lvlJc w:val="left"/>
      <w:pPr>
        <w:ind w:left="4320" w:hanging="360"/>
      </w:pPr>
    </w:lvl>
    <w:lvl w:ilvl="6" w:tplc="39CCDABC">
      <w:start w:val="1"/>
      <w:numFmt w:val="bullet"/>
      <w:lvlText w:val="●"/>
      <w:lvlJc w:val="left"/>
      <w:pPr>
        <w:ind w:left="5040" w:hanging="360"/>
      </w:pPr>
    </w:lvl>
    <w:lvl w:ilvl="7" w:tplc="F0581E96">
      <w:start w:val="1"/>
      <w:numFmt w:val="bullet"/>
      <w:lvlText w:val="●"/>
      <w:lvlJc w:val="left"/>
      <w:pPr>
        <w:ind w:left="5760" w:hanging="360"/>
      </w:pPr>
    </w:lvl>
    <w:lvl w:ilvl="8" w:tplc="C108EED0">
      <w:start w:val="1"/>
      <w:numFmt w:val="bullet"/>
      <w:lvlText w:val="●"/>
      <w:lvlJc w:val="left"/>
      <w:pPr>
        <w:ind w:left="6480" w:hanging="360"/>
      </w:pPr>
    </w:lvl>
  </w:abstractNum>
  <w:abstractNum w:abstractNumId="1" w15:restartNumberingAfterBreak="0">
    <w:nsid w:val="20D841D3"/>
    <w:multiLevelType w:val="hybridMultilevel"/>
    <w:tmpl w:val="20B4F1F8"/>
    <w:lvl w:ilvl="0" w:tplc="5E382090">
      <w:start w:val="1"/>
      <w:numFmt w:val="bullet"/>
      <w:lvlText w:val="•"/>
      <w:lvlJc w:val="left"/>
      <w:pPr>
        <w:ind w:left="720" w:hanging="360"/>
      </w:pPr>
    </w:lvl>
    <w:lvl w:ilvl="1" w:tplc="BEF2E30A">
      <w:numFmt w:val="decimal"/>
      <w:lvlText w:val=""/>
      <w:lvlJc w:val="left"/>
    </w:lvl>
    <w:lvl w:ilvl="2" w:tplc="8BEE979E">
      <w:numFmt w:val="decimal"/>
      <w:lvlText w:val=""/>
      <w:lvlJc w:val="left"/>
    </w:lvl>
    <w:lvl w:ilvl="3" w:tplc="0936D8F8">
      <w:numFmt w:val="decimal"/>
      <w:lvlText w:val=""/>
      <w:lvlJc w:val="left"/>
    </w:lvl>
    <w:lvl w:ilvl="4" w:tplc="222C5230">
      <w:numFmt w:val="decimal"/>
      <w:lvlText w:val=""/>
      <w:lvlJc w:val="left"/>
    </w:lvl>
    <w:lvl w:ilvl="5" w:tplc="5EE27036">
      <w:numFmt w:val="decimal"/>
      <w:lvlText w:val=""/>
      <w:lvlJc w:val="left"/>
    </w:lvl>
    <w:lvl w:ilvl="6" w:tplc="3EA0E406">
      <w:numFmt w:val="decimal"/>
      <w:lvlText w:val=""/>
      <w:lvlJc w:val="left"/>
    </w:lvl>
    <w:lvl w:ilvl="7" w:tplc="81283D4E">
      <w:numFmt w:val="decimal"/>
      <w:lvlText w:val=""/>
      <w:lvlJc w:val="left"/>
    </w:lvl>
    <w:lvl w:ilvl="8" w:tplc="2E087438">
      <w:numFmt w:val="decimal"/>
      <w:lvlText w:val=""/>
      <w:lvlJc w:val="left"/>
    </w:lvl>
  </w:abstractNum>
  <w:abstractNum w:abstractNumId="2" w15:restartNumberingAfterBreak="0">
    <w:nsid w:val="504F219D"/>
    <w:multiLevelType w:val="hybridMultilevel"/>
    <w:tmpl w:val="9B9ACE26"/>
    <w:lvl w:ilvl="0" w:tplc="303CBCE4">
      <w:start w:val="1"/>
      <w:numFmt w:val="decimal"/>
      <w:lvlText w:val="%1."/>
      <w:lvlJc w:val="left"/>
      <w:pPr>
        <w:ind w:left="720" w:hanging="360"/>
      </w:pPr>
    </w:lvl>
    <w:lvl w:ilvl="1" w:tplc="ECFE68FE">
      <w:numFmt w:val="decimal"/>
      <w:lvlText w:val=""/>
      <w:lvlJc w:val="left"/>
    </w:lvl>
    <w:lvl w:ilvl="2" w:tplc="52DE6B00">
      <w:numFmt w:val="decimal"/>
      <w:lvlText w:val=""/>
      <w:lvlJc w:val="left"/>
    </w:lvl>
    <w:lvl w:ilvl="3" w:tplc="37BC82A8">
      <w:numFmt w:val="decimal"/>
      <w:lvlText w:val=""/>
      <w:lvlJc w:val="left"/>
    </w:lvl>
    <w:lvl w:ilvl="4" w:tplc="D1DEB6C0">
      <w:numFmt w:val="decimal"/>
      <w:lvlText w:val=""/>
      <w:lvlJc w:val="left"/>
    </w:lvl>
    <w:lvl w:ilvl="5" w:tplc="82BE1832">
      <w:numFmt w:val="decimal"/>
      <w:lvlText w:val=""/>
      <w:lvlJc w:val="left"/>
    </w:lvl>
    <w:lvl w:ilvl="6" w:tplc="BFF2287A">
      <w:numFmt w:val="decimal"/>
      <w:lvlText w:val=""/>
      <w:lvlJc w:val="left"/>
    </w:lvl>
    <w:lvl w:ilvl="7" w:tplc="1BDC3F84">
      <w:numFmt w:val="decimal"/>
      <w:lvlText w:val=""/>
      <w:lvlJc w:val="left"/>
    </w:lvl>
    <w:lvl w:ilvl="8" w:tplc="3FDE7D1C">
      <w:numFmt w:val="decimal"/>
      <w:lvlText w:val=""/>
      <w:lvlJc w:val="left"/>
    </w:lvl>
  </w:abstractNum>
  <w:num w:numId="1" w16cid:durableId="321323806">
    <w:abstractNumId w:val="0"/>
    <w:lvlOverride w:ilvl="0">
      <w:startOverride w:val="1"/>
    </w:lvlOverride>
  </w:num>
  <w:num w:numId="2" w16cid:durableId="1960527132">
    <w:abstractNumId w:val="1"/>
    <w:lvlOverride w:ilvl="0">
      <w:startOverride w:val="1"/>
    </w:lvlOverride>
  </w:num>
  <w:num w:numId="3" w16cid:durableId="15659900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13F"/>
    <w:rsid w:val="002A2CB9"/>
    <w:rsid w:val="00411FEC"/>
    <w:rsid w:val="005725D0"/>
    <w:rsid w:val="00701D95"/>
    <w:rsid w:val="00710AE3"/>
    <w:rsid w:val="00776240"/>
    <w:rsid w:val="0091213F"/>
    <w:rsid w:val="00BF070A"/>
    <w:rsid w:val="00FD7309"/>
    <w:rsid w:val="00FE1938"/>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9ACEF"/>
  <w15:docId w15:val="{3467FC4A-FC96-448B-B15E-1BB1B6A78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3"/>
        <w:szCs w:val="23"/>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spacing w:before="440" w:after="200"/>
      <w:outlineLvl w:val="0"/>
    </w:pPr>
    <w:rPr>
      <w:rFonts w:ascii="Arial" w:eastAsia="Arial" w:hAnsi="Arial" w:cs="Arial"/>
      <w:b/>
      <w:bCs/>
      <w:color w:val="1B3A5C"/>
      <w:sz w:val="28"/>
      <w:szCs w:val="28"/>
    </w:rPr>
  </w:style>
  <w:style w:type="paragraph" w:styleId="Titre2">
    <w:name w:val="heading 2"/>
    <w:uiPriority w:val="9"/>
    <w:unhideWhenUsed/>
    <w:qFormat/>
    <w:pPr>
      <w:spacing w:before="300" w:after="160"/>
      <w:outlineLvl w:val="1"/>
    </w:pPr>
    <w:rPr>
      <w:rFonts w:ascii="Arial" w:eastAsia="Arial" w:hAnsi="Arial" w:cs="Arial"/>
      <w:b/>
      <w:bCs/>
      <w:color w:val="2E5F8A"/>
      <w:sz w:val="25"/>
      <w:szCs w:val="25"/>
    </w:rPr>
  </w:style>
  <w:style w:type="paragraph" w:styleId="Titre3">
    <w:name w:val="heading 3"/>
    <w:uiPriority w:val="9"/>
    <w:unhideWhenUsed/>
    <w:qFormat/>
    <w:pPr>
      <w:spacing w:before="200" w:after="100"/>
      <w:outlineLvl w:val="2"/>
    </w:pPr>
    <w:rPr>
      <w:rFonts w:ascii="Arial" w:eastAsia="Arial" w:hAnsi="Arial" w:cs="Arial"/>
      <w:b/>
      <w:bCs/>
      <w:color w:val="0D1B2A"/>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710AE3"/>
    <w:pPr>
      <w:spacing w:after="100"/>
    </w:pPr>
  </w:style>
  <w:style w:type="paragraph" w:styleId="TM2">
    <w:name w:val="toc 2"/>
    <w:basedOn w:val="Normal"/>
    <w:next w:val="Normal"/>
    <w:autoRedefine/>
    <w:uiPriority w:val="39"/>
    <w:unhideWhenUsed/>
    <w:rsid w:val="00710AE3"/>
    <w:pPr>
      <w:spacing w:after="100"/>
      <w:ind w:left="230"/>
    </w:pPr>
  </w:style>
  <w:style w:type="paragraph" w:styleId="TM3">
    <w:name w:val="toc 3"/>
    <w:basedOn w:val="Normal"/>
    <w:next w:val="Normal"/>
    <w:autoRedefine/>
    <w:uiPriority w:val="39"/>
    <w:unhideWhenUsed/>
    <w:rsid w:val="00710AE3"/>
    <w:pPr>
      <w:spacing w:after="100"/>
      <w:ind w:left="460"/>
    </w:pPr>
  </w:style>
  <w:style w:type="paragraph" w:styleId="En-tte">
    <w:name w:val="header"/>
    <w:basedOn w:val="Normal"/>
    <w:link w:val="En-tteCar"/>
    <w:uiPriority w:val="99"/>
    <w:unhideWhenUsed/>
    <w:rsid w:val="00710AE3"/>
    <w:pPr>
      <w:tabs>
        <w:tab w:val="center" w:pos="4536"/>
        <w:tab w:val="right" w:pos="9072"/>
      </w:tabs>
    </w:pPr>
  </w:style>
  <w:style w:type="character" w:customStyle="1" w:styleId="En-tteCar">
    <w:name w:val="En-tête Car"/>
    <w:basedOn w:val="Policepardfaut"/>
    <w:link w:val="En-tte"/>
    <w:uiPriority w:val="99"/>
    <w:rsid w:val="00710AE3"/>
  </w:style>
  <w:style w:type="paragraph" w:styleId="Pieddepage">
    <w:name w:val="footer"/>
    <w:basedOn w:val="Normal"/>
    <w:link w:val="PieddepageCar"/>
    <w:uiPriority w:val="99"/>
    <w:unhideWhenUsed/>
    <w:rsid w:val="00710AE3"/>
    <w:pPr>
      <w:tabs>
        <w:tab w:val="center" w:pos="4536"/>
        <w:tab w:val="right" w:pos="9072"/>
      </w:tabs>
    </w:pPr>
  </w:style>
  <w:style w:type="character" w:customStyle="1" w:styleId="PieddepageCar">
    <w:name w:val="Pied de page Car"/>
    <w:basedOn w:val="Policepardfaut"/>
    <w:link w:val="Pieddepage"/>
    <w:uiPriority w:val="99"/>
    <w:rsid w:val="00710AE3"/>
  </w:style>
  <w:style w:type="character" w:customStyle="1" w:styleId="Titre1Car">
    <w:name w:val="Titre 1 Car"/>
    <w:basedOn w:val="Policepardfaut"/>
    <w:link w:val="Titre1"/>
    <w:uiPriority w:val="9"/>
    <w:rsid w:val="00701D95"/>
    <w:rPr>
      <w:rFonts w:ascii="Arial" w:eastAsia="Arial" w:hAnsi="Arial" w:cs="Arial"/>
      <w:b/>
      <w:bCs/>
      <w:color w:val="1B3A5C"/>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31</Pages>
  <Words>6387</Words>
  <Characters>35129</Characters>
  <Application>Microsoft Office Word</Application>
  <DocSecurity>0</DocSecurity>
  <Lines>292</Lines>
  <Paragraphs>82</Paragraphs>
  <ScaleCrop>false</ScaleCrop>
  <Company/>
  <LinksUpToDate>false</LinksUpToDate>
  <CharactersWithSpaces>41434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imran .</cp:lastModifiedBy>
  <cp:revision>3</cp:revision>
  <dcterms:created xsi:type="dcterms:W3CDTF">2026-03-15T01:05:00Z</dcterms:created>
  <dcterms:modified xsi:type="dcterms:W3CDTF">2026-03-15T01:08:00Z</dcterms:modified>
</cp:coreProperties>
</file>