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B61" w:rsidRPr="007801E5" w:rsidRDefault="0012649F">
      <w:pPr>
        <w:spacing w:after="60"/>
        <w:jc w:val="center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FFFFFF"/>
          <w:sz w:val="44"/>
          <w:szCs w:val="44"/>
        </w:rPr>
        <w:t>FICHE DE RÉVISION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44"/>
                <w:szCs w:val="44"/>
              </w:rPr>
              <w:t>FICHE DE RÉVISION</w:t>
            </w:r>
          </w:p>
          <w:p w:rsidR="00311B61" w:rsidRPr="007801E5" w:rsidRDefault="0012649F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i/>
                <w:iCs/>
                <w:color w:val="E8E0F5"/>
                <w:sz w:val="24"/>
                <w:szCs w:val="24"/>
              </w:rPr>
              <w:t>Accompagnement de la femme sportive — Activité physique</w:t>
            </w:r>
          </w:p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C8B8E8"/>
                <w:sz w:val="19"/>
                <w:szCs w:val="19"/>
              </w:rPr>
              <w:t>École de Santé Naturelle · Amandine Robitaille, Naturopathe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Segoe UI Symbol" w:hAnsi="Segoe UI Symbol" w:cs="Segoe UI Symbol"/>
          <w:b/>
          <w:bCs/>
          <w:color w:val="4A3080"/>
          <w:sz w:val="28"/>
          <w:szCs w:val="28"/>
        </w:rPr>
        <w:t>⚠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>️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RAPPELS DÉONTOLOGIQUES FONDAMENTAUX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4553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CE QUE LE NATUROPATHE FAIT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CE QUE LE NATUROPATHE NE FAIT PAS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Accompagne avec des conseils d'hygiène de vie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Oriente vers des praticiens de santé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Travaille en complémentarité du médecin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Écoute, observe, propose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Ne pose PAS de diagnostic médical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Ne fait PAS de pronostic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Ne demande JAMAIS d'arrêter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un traitement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Ne se substitue PAS à une consultation médicale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Segoe UI Symbol" w:hAnsi="Segoe UI Symbol" w:cs="Segoe UI Symbol"/>
          <w:b/>
          <w:bCs/>
          <w:color w:val="4A3080"/>
          <w:sz w:val="28"/>
          <w:szCs w:val="28"/>
        </w:rPr>
        <w:t>📋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MÉTHODOLOGIE D'ANALYSE D'UN CAS PRATIQUE</w:t>
      </w: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Les 4 étapes incontournables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ÉTAPE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CONTENU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OBJECTIF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1 — Demande initiale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Motifs de consultation exprimés par la consultante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Identifier les attentes conscientes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2 — État des lieux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Questionnaire complet (alimentation, sommeil, stress, gynéco, digestif...)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Recueillir les données objectives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3 — Recherche des causes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Analyse des causes probables par pathologie / symptôme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Relier les symptômes aux déséquilibres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4 — Programme PHV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Conseils hygiène de vie : alimentation, hydratation, compléments, techniques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Proposer un plan d'action individualisé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Segoe UI Symbol" w:hAnsi="Segoe UI Symbol" w:cs="Segoe UI Symbol"/>
          <w:b/>
          <w:bCs/>
          <w:color w:val="4A3080"/>
          <w:sz w:val="28"/>
          <w:szCs w:val="28"/>
        </w:rPr>
        <w:t>🔍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PATHOLOGIES FRÉQUENTES CHEZ LA FEMME SPORTIVE — CAUSES</w:t>
      </w: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Tendinopathie du TFL (syndrome de l'essuie-glace)</w:t>
      </w:r>
    </w:p>
    <w:p w:rsidR="00311B61" w:rsidRPr="007801E5" w:rsidRDefault="0012649F">
      <w:pPr>
        <w:spacing w:before="60" w:after="60"/>
        <w:rPr>
          <w:rFonts w:ascii="Book Antiqua" w:hAnsi="Book Antiqua"/>
        </w:rPr>
      </w:pPr>
      <w:r w:rsidRPr="007801E5">
        <w:rPr>
          <w:rFonts w:ascii="Book Antiqua" w:hAnsi="Book Antiqua"/>
          <w:i/>
          <w:iCs/>
          <w:color w:val="555555"/>
        </w:rPr>
        <w:t>Inflammation de la bandelette ilio-tibiale (du genou au fessier) — douleurs latérales au genou à l'effort.</w:t>
      </w:r>
    </w:p>
    <w:p w:rsidR="00311B61" w:rsidRPr="007801E5" w:rsidRDefault="00311B61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2"/>
        <w:gridCol w:w="4454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CAUSES DIRECTES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FACTEURS AGGRAVANTS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Reprise trop brutale après arrêt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Augmentation rapide des distances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Manque d'échauffement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Chaussures inadaptées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Dysharmonie adducteurs/abducteurs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Entraînement en côte / descente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Acidité tissulaire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Alimentation acidifiante (sucre, café)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Déshydratation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Inflammation de bas grade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Stress / cortisol élevé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Absence d'étirements</w:t>
            </w:r>
          </w:p>
        </w:tc>
      </w:tr>
    </w:tbl>
    <w:p w:rsidR="00311B61" w:rsidRPr="007801E5" w:rsidRDefault="00311B61">
      <w:pPr>
        <w:spacing w:before="140"/>
        <w:rPr>
          <w:rFonts w:ascii="Book Antiqua" w:hAnsi="Book Antiqua"/>
        </w:rPr>
      </w:pP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lastRenderedPageBreak/>
        <w:t>Céphalées à l'effort (dont cervicogéniques)</w:t>
      </w:r>
    </w:p>
    <w:p w:rsidR="00311B61" w:rsidRPr="007801E5" w:rsidRDefault="00311B61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5"/>
        <w:gridCol w:w="4161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CAUSES DIRECTES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FACTEURS AGGRAVANTS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Manque d'hydratation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Apport glucidique insuffisant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Absence d'échauffement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Mouvements de flexion/extension du cou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Conditions météo (chaleur)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Manque de sommeil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Stress / déséquilibre hormonal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Carences en vitamines et minéraux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Intolérances alimentaires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Alimentation acidifiante</w:t>
            </w:r>
          </w:p>
        </w:tc>
      </w:tr>
    </w:tbl>
    <w:p w:rsidR="00311B61" w:rsidRPr="007801E5" w:rsidRDefault="00311B61">
      <w:pPr>
        <w:spacing w:before="140"/>
        <w:rPr>
          <w:rFonts w:ascii="Book Antiqua" w:hAnsi="Book Antiqua"/>
        </w:rPr>
      </w:pP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SOPK (Syndrome des Ovaires Polykystiques) — contexte post-partum</w:t>
      </w:r>
    </w:p>
    <w:p w:rsidR="00311B61" w:rsidRPr="007801E5" w:rsidRDefault="00311B61">
      <w:pPr>
        <w:spacing w:before="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MÉCANISMES &amp; FACTEURS ASSOCIÉS</w:t>
            </w:r>
          </w:p>
        </w:tc>
      </w:tr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Dérèglements hormonaux (FSH, LH, progestérone) → altération de l'ovulation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Résistance à l'insuline / dysrégulation glycémique → hyperandrogénie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Allaitement prolongé : prolactine élevée → suppression des cycles menstruels (aménorrhée lactogène)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Stress oxydatif + inflammation de bas grade → aggravation des symptômes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Dysbiose intestinale probable (microbiote &amp; axe intestin-hormones)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Caren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>ces possibles : zinc, magnésium, oméga-3, vitamine D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Segoe UI Symbol" w:hAnsi="Segoe UI Symbol" w:cs="Segoe UI Symbol"/>
          <w:b/>
          <w:bCs/>
          <w:color w:val="4A3080"/>
          <w:sz w:val="28"/>
          <w:szCs w:val="28"/>
        </w:rPr>
        <w:t>📊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SYNTHÈSE ÉTAT DES LIEUX — ÉLÉMENTS CONNUS vs PROBABLES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Segoe UI Symbol" w:hAnsi="Segoe UI Symbol" w:cs="Segoe UI Symbol"/>
                <w:b/>
                <w:bCs/>
                <w:color w:val="FFFFFF"/>
              </w:rPr>
              <w:t>✅</w:t>
            </w:r>
            <w:r w:rsidRPr="007801E5">
              <w:rPr>
                <w:rFonts w:ascii="Book Antiqua" w:hAnsi="Book Antiqua"/>
                <w:b/>
                <w:bCs/>
                <w:color w:val="FFFFFF"/>
              </w:rPr>
              <w:t xml:space="preserve"> ÉLÉMENTS CONNUS</w:t>
            </w:r>
          </w:p>
        </w:tc>
        <w:tc>
          <w:tcPr>
            <w:tcW w:w="30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Segoe UI Symbol" w:hAnsi="Segoe UI Symbol" w:cs="Segoe UI Symbol"/>
                <w:b/>
                <w:bCs/>
                <w:color w:val="FFFFFF"/>
              </w:rPr>
              <w:t>⚠</w:t>
            </w:r>
            <w:r w:rsidRPr="007801E5">
              <w:rPr>
                <w:rFonts w:ascii="Book Antiqua" w:hAnsi="Book Antiqua"/>
                <w:b/>
                <w:bCs/>
                <w:color w:val="FFFFFF"/>
              </w:rPr>
              <w:t>️</w:t>
            </w:r>
            <w:r w:rsidRPr="007801E5">
              <w:rPr>
                <w:rFonts w:ascii="Book Antiqua" w:hAnsi="Book Antiqua"/>
                <w:b/>
                <w:bCs/>
                <w:color w:val="FFFFFF"/>
              </w:rPr>
              <w:t xml:space="preserve"> ÉLÉMENTS PROBABLES</w:t>
            </w:r>
          </w:p>
        </w:tc>
        <w:tc>
          <w:tcPr>
            <w:tcW w:w="30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Segoe UI Symbol" w:hAnsi="Segoe UI Symbol" w:cs="Segoe UI Symbol"/>
                <w:b/>
                <w:bCs/>
                <w:color w:val="FFFFFF"/>
              </w:rPr>
              <w:t>❓</w:t>
            </w:r>
            <w:r w:rsidRPr="007801E5">
              <w:rPr>
                <w:rFonts w:ascii="Book Antiqua" w:hAnsi="Book Antiqua"/>
                <w:b/>
                <w:bCs/>
                <w:color w:val="FFFFFF"/>
              </w:rPr>
              <w:t xml:space="preserve"> À INVESTIGUER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Alimentation pro-inflammatoire (sucres, café)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Inflammation de bas grade systémique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Bilan biologique complet (carences ?)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Hydratation insuffisante (&lt; 1,5L/j)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Dysbiose intestinale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Bilan hormonal : TSH, FSH, LH, progestérone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Sommeil insuffisant et fragmenté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Hyperperméabilité intestinale (Leaky Gut)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Statut ferritine, vitamine D, oméga-3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Stress élevé (charge mentale)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Stress oxydatif important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Échographie pour SOPK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Reprise d'activité physique intensive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Acidité tissulaire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Analyses : magnésium, zinc, vitamines B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Terrain allergique (lait, graminées)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Carences multiples (fer, Mg, vit. D...)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311B61">
            <w:pPr>
              <w:rPr>
                <w:rFonts w:ascii="Book Antiqua" w:hAnsi="Book Antiqua"/>
              </w:rPr>
            </w:pP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Segoe UI Symbol" w:hAnsi="Segoe UI Symbol" w:cs="Segoe UI Symbol"/>
          <w:b/>
          <w:bCs/>
          <w:color w:val="4A3080"/>
          <w:sz w:val="28"/>
          <w:szCs w:val="28"/>
        </w:rPr>
        <w:t>🎯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AXES DE TRAVAIL NATUROPATHIQUES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6773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AXE DE TRAVAIL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TECHNIQUES NATUROPATHIQUES ASSOCIÉES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1. Réduire l'inflammation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Alimentation anti-inflammatoire (oméga-3, épices, légumes), suppression produits laitiers et sucres raffinés, aromathérapie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2. Soulager douleurs à l'effort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Aromathérapie locale (HE Gaulthérie couchée + HV calophylle), étirements spécifiques TFL, massage à la balle, cataplasme argile verte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lastRenderedPageBreak/>
              <w:t>3. Réduire l'hyperperméabilité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 xml:space="preserve">Suppression des intolérances (lait de vache), </w:t>
            </w: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probiotiques, curcuma, L-glutamine, alimentation riche en fibres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4. Combler les carences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Vitamine D3/K2, magnésium B6, oméga-3 EPA/DHA, complexe multivitamines, ortie piquante (silice, fer)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5. Gestion du stress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Cohérence cardiaque (5 min × 3/j, inspiration/expiration 5s), respiration yogique complète, réduction charge mentale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6. Optimiser l'hydratation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1,5L eaux faiblement minéralisées/j, électrolytes à l'effort, calcul pertes hydriques (pesée avant/après)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Book Antiqua" w:hAnsi="Book Antiqua" w:cs="Book Antiqua"/>
          <w:b/>
          <w:bCs/>
          <w:color w:val="4A3080"/>
          <w:sz w:val="28"/>
          <w:szCs w:val="28"/>
        </w:rPr>
        <w:t>🥗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ALIMENTATION — POINTS CLÉS POUR LA FEMME SPORTIVE</w:t>
      </w: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Macronutriments &amp; répartition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2826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NUTRIMENT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RECOMMANDATIONS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EXEMPLES / SOURCES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Protéines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2 portions/jour — viande blanche 2-3×/sem, viande rouge 1×/sem, poissons gras 3×/sem, œufs 3-4×/sem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Saumon sauvage, sardines, thon, poulet, œufs bio label BBC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Lipides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Huiles VPPF : lin, colza, noix — 2-3 c.à.s./j crus ou cuits — éviter tournesol (pro-inflam.)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Huile de lin crue sur salade, noix, graines de courge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Glucides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Privilégier IG bas : quinoa, sarrasin, riz complet, patate douce — limiter pâtes blanches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Quinoa, petit épeautre, pommes de terre vapeur, flocons avoine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Légumes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Midi + soir, saison, cuisson vapeur douce — entrée crudités systématique au déjeuner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Tous légumes de saison — potages, woks, vapeur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Protéines végétales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Légumineuses 1-2×/sem minimum — tofu, champignons, lentilles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Lentilles, pois chiches, haricots rouges, tofu, tempeh</w:t>
            </w:r>
          </w:p>
        </w:tc>
      </w:tr>
    </w:tbl>
    <w:p w:rsidR="00311B61" w:rsidRPr="007801E5" w:rsidRDefault="00311B61">
      <w:pPr>
        <w:spacing w:before="120"/>
        <w:rPr>
          <w:rFonts w:ascii="Book Antiqua" w:hAnsi="Book Antiqua"/>
        </w:rPr>
      </w:pP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Collation pré-effort et gestion glycémique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527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AVANT L'EFFORT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ALIMENTATION POUR LE SOPK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Collation glucido-protéinée 1h avant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Banane + quelques amandes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Flocons d'avoine + lait végétal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Éviter les sucres rapides isolés (pics glycémiques)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Privilégier IG bas pour réduire l'insulinémie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Vinaigre de cidre en assaisonnement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Cannelle pour réguler la glycémie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Éviter sucres raffinés et produits laitiers de vache</w:t>
            </w:r>
          </w:p>
        </w:tc>
      </w:tr>
    </w:tbl>
    <w:p w:rsidR="00311B61" w:rsidRPr="007801E5" w:rsidRDefault="00311B61">
      <w:pPr>
        <w:spacing w:before="120"/>
        <w:rPr>
          <w:rFonts w:ascii="Book Antiqua" w:hAnsi="Book Antiqua"/>
        </w:rPr>
      </w:pP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Compléments alimentaires — tableau de référence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626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COMPLÉMENT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INDICATIONS / EFFETS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DOSAGE INDICATIF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Vitamine D3/K2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Immunité, synthèse hormonale stéroïdienne, construction musculaire, réduction fatigue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3 gouttes/j le matin (ex : Sunday Natural)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Magnésium B6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Réduction fatigue et stress, fonctionnement nerveux, synthèse protéique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3 gélules/j fractionné aux repas (ex : Nutri&amp;co)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Oméga-3 EPA/DHA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Anti-inflammatoire, soutien cycle féminin, système nerveux, activation lipolyse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2-3 gélules/j au dîner (ex : Norsan vegan)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Ortie piquante (LPEV)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Reminéralisante (silice, fer), action hormonale, douleurs articulaires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5mL matin et soir avant repas — 3 semaines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lastRenderedPageBreak/>
              <w:t>Probiotiques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Restauration microbiote, hyperperméabilité intestinale, immunité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En cure 1 mois, à jeun le matin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Curcuma longa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Anti-inflammatoire puissant, réparation muqueuse intestinale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En gélules ou frais en cuisine, avec poivre noir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Complexe vitamines 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Énergie cellulaire, système nerveux, cofacteur enzymatique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Selon bilan biologique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Segoe UI Symbol" w:hAnsi="Segoe UI Symbol" w:cs="Segoe UI Symbol"/>
          <w:b/>
          <w:bCs/>
          <w:color w:val="4A3080"/>
          <w:sz w:val="28"/>
          <w:szCs w:val="28"/>
        </w:rPr>
        <w:t>💧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HYDRATATION — PROTOCOLE POUR LA SPORTIVE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RÈGLES D'OR DE L'HYDRATATION</w:t>
            </w:r>
          </w:p>
        </w:tc>
      </w:tr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Au quotidien : 1,5L d'eau plate faiblement minéralisée (Mont Roucous, Montcalm, Rosée de la Reine)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Au lever : 1 verre d'eau à température ambiante AVANT toute autre boisson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Boire EN DEHORS des repas (avant et après), pas pendant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À l'effort : boire toutes les 15 min par petites gorgées — minimum 500mL/h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Électrolytes recommandés pour efforts &gt; 1h (ex : Hydratis)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Calcul post-effort : (poids avant − poids après) × 1,5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= quantité à réhydrater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Limiter café à 1/j maximum (acidifiant), limiter eaux gazeuses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Segoe UI Symbol" w:hAnsi="Segoe UI Symbol" w:cs="Segoe UI Symbol"/>
          <w:b/>
          <w:bCs/>
          <w:color w:val="4A3080"/>
          <w:sz w:val="28"/>
          <w:szCs w:val="28"/>
        </w:rPr>
        <w:t>🏃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ACTIVITÉ PHYSIQUE — CONSEILS NATUROPATHIQUES</w:t>
      </w: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Plan d'entraînement pour reprise trail/marathon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26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PRINCIPE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APPLICATION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</w:rPr>
              <w:t>VIGILANCE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Progressivité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Ne pas augmenter kilométrage &gt; 10%/semaine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Risque de TFL, périostite, fatigue accumulée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Renforcement musculaire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2×/semaine : fessiers ++, abducteurs hanche, dos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Prévention blessures genou et TFL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Étirements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Post-séance et quotidien : nuque, TFL, quadriceps, fessiers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TFL : massage à la balle de caoutchouc 10-12 fois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Échauffement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Systématique avant toute sortie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Facteur de risque céphalées et TFL si absent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Récupération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Sommeil, alimentation post-effort, hydratation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color w:val="222222"/>
                <w:sz w:val="18"/>
                <w:szCs w:val="18"/>
              </w:rPr>
              <w:t>Éviter les pauses de &gt; 3 semaines qui imposent reprise douce</w:t>
            </w:r>
          </w:p>
        </w:tc>
      </w:tr>
    </w:tbl>
    <w:p w:rsidR="00311B61" w:rsidRPr="007801E5" w:rsidRDefault="00311B61">
      <w:pPr>
        <w:spacing w:before="120"/>
        <w:rPr>
          <w:rFonts w:ascii="Book Antiqua" w:hAnsi="Book Antiqua"/>
        </w:rPr>
      </w:pP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Aromathérapie pour la sportive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5"/>
        <w:gridCol w:w="4891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TENDINITE / TFL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STRESS / RÉCUPÉRATION NERVEUSE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HE Gaulthérie couchée : 3 gouttes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Dans 1 c.à.s. d'HV calophylle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Massage 3×/j sur zone douloureuse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Cataplasme argile verte la nuit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HE Lavande vraie : 2 gouttes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Dans 1 c.à.s. d'HV jojoba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Massage plexus solaire 1×/soir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Cohérence cardiaque en complément</w:t>
            </w:r>
          </w:p>
        </w:tc>
      </w:tr>
    </w:tbl>
    <w:p w:rsidR="00311B61" w:rsidRDefault="00311B61">
      <w:pPr>
        <w:spacing w:before="200"/>
        <w:rPr>
          <w:rFonts w:ascii="Book Antiqua" w:hAnsi="Book Antiqua"/>
        </w:rPr>
      </w:pPr>
    </w:p>
    <w:p w:rsidR="007801E5" w:rsidRPr="007801E5" w:rsidRDefault="007801E5">
      <w:pPr>
        <w:spacing w:before="200"/>
        <w:rPr>
          <w:rFonts w:ascii="Book Antiqua" w:hAnsi="Book Antiqua"/>
        </w:rPr>
      </w:pPr>
    </w:p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lastRenderedPageBreak/>
        <w:t>♀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>️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SPÉCIFICITÉS DE LA FEMME SPORTIVE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SPORT INTENSIF &amp; CYCLES MENSTRUELS — POINTS D'ATTENTION</w:t>
            </w:r>
          </w:p>
        </w:tc>
      </w:tr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Sport intensif → augmentation cortisol → inhibition axe hypothalamo-hypophyso-gonadique → aménorrhée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Allaitement → prolactine élevée → suppression naturelle des cycles (aménorrhée lactogène, normale jusqu'à 12-18 mois)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Déficit énergétique relatif (REDs) : si apports &lt; dépenses → perturbation cycles, densité osseuse, fatigue chronique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SOPK : sport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modéré améliore la sensibilité à l'insuline → favorise retour des cycles (éviter l'excès)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Post-partum : phase de vulnérabilité — carences fréquentes (fer, vitamine D, iode, oméga-3) liées à grossesse + allaitement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Toujours orienter vers gynécologue 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>si aménorrhée &gt; 3 mois hors allaitement exclusif</w:t>
            </w:r>
          </w:p>
        </w:tc>
      </w:tr>
    </w:tbl>
    <w:p w:rsidR="00311B61" w:rsidRPr="007801E5" w:rsidRDefault="0012649F">
      <w:pPr>
        <w:pBdr>
          <w:bottom w:val="single" w:sz="8" w:space="2" w:color="4A3080"/>
        </w:pBdr>
        <w:spacing w:before="300" w:after="100"/>
        <w:rPr>
          <w:rFonts w:ascii="Book Antiqua" w:hAnsi="Book Antiqua"/>
        </w:rPr>
      </w:pPr>
      <w:r w:rsidRPr="007801E5">
        <w:rPr>
          <w:rFonts w:ascii="Book Antiqua" w:hAnsi="Book Antiqua" w:cs="Book Antiqua"/>
          <w:b/>
          <w:bCs/>
          <w:color w:val="4A3080"/>
          <w:sz w:val="28"/>
          <w:szCs w:val="28"/>
        </w:rPr>
        <w:t>🧠</w:t>
      </w:r>
      <w:r w:rsidRPr="007801E5">
        <w:rPr>
          <w:rFonts w:ascii="Book Antiqua" w:hAnsi="Book Antiqua"/>
          <w:b/>
          <w:bCs/>
          <w:color w:val="4A3080"/>
          <w:sz w:val="28"/>
          <w:szCs w:val="28"/>
        </w:rPr>
        <w:t xml:space="preserve">  DÉPRESSION &amp; GESTION DES ÉMOTIONS (cas Aurélie)</w:t>
      </w:r>
    </w:p>
    <w:p w:rsidR="00311B61" w:rsidRPr="007801E5" w:rsidRDefault="0012649F">
      <w:pPr>
        <w:spacing w:before="200" w:after="60"/>
        <w:rPr>
          <w:rFonts w:ascii="Book Antiqua" w:hAnsi="Book Antiqua"/>
        </w:rPr>
      </w:pPr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Liens alimentation — neurotransmetteurs — humeur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MÉCANISMES À CONNAÎTRE</w:t>
            </w:r>
          </w:p>
        </w:tc>
      </w:tr>
      <w:tr w:rsidR="00311B61" w:rsidRPr="007801E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Stress chronique → cortisol ↑ → sérotonine ↓ → pulsions sucrées → pics glycémiques → inflammation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Carences fer + vitamine D + B9/B12 → cofacteurs synthèse dopamine et sérotonine → déprime, fatigue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Oméga-3 EPA/DHA : rôle anti-inflammatoire cérébral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et neuroprotecteur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Microbiote altéré → axe intestin-cerveau perturbé → anxiété, humeur dépressive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Sucres rapides → fausse énergie → effondrement glycémique → compulsions, irritabilité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Ferritine basse : cofacteur thyroïde, dopamine, optimisation sérotonine (à doser en priorité)</w:t>
            </w:r>
          </w:p>
        </w:tc>
      </w:tr>
    </w:tbl>
    <w:p w:rsidR="00311B61" w:rsidRPr="007801E5" w:rsidRDefault="0012649F">
      <w:pPr>
        <w:spacing w:before="200" w:after="60"/>
        <w:rPr>
          <w:rFonts w:ascii="Book Antiqua" w:hAnsi="Book Antiqua"/>
        </w:rPr>
      </w:pPr>
      <w:bookmarkStart w:id="0" w:name="_GoBack"/>
      <w:bookmarkEnd w:id="0"/>
      <w:r w:rsidRPr="007801E5">
        <w:rPr>
          <w:rFonts w:ascii="Book Antiqua" w:hAnsi="Book Antiqua"/>
          <w:b/>
          <w:bCs/>
          <w:color w:val="2D1B5E"/>
          <w:sz w:val="22"/>
          <w:szCs w:val="22"/>
        </w:rPr>
        <w:t>Méthode SMART — fixer des objectifs réalistes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8"/>
        <w:gridCol w:w="5308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DÉFINITION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11B61" w:rsidRPr="007801E5" w:rsidRDefault="0012649F">
            <w:pPr>
              <w:rPr>
                <w:rFonts w:ascii="Book Antiqua" w:hAnsi="Book Antiqua"/>
              </w:rPr>
            </w:pPr>
            <w:r w:rsidRPr="007801E5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EXEMPLE D'OBJECTIF SMART</w:t>
            </w:r>
          </w:p>
        </w:tc>
      </w:tr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Spécifique : objectif précis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Mesurable : quantifiable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Atteignable : à portée de main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Réaliste : adapté à la vie réelle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Temporel : avec délai défini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60" w:type="dxa"/>
              <w:bottom w:w="120" w:type="dxa"/>
              <w:right w:w="160" w:type="dxa"/>
            </w:tcMar>
          </w:tcPr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"Je vais marcher 30 minutes,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3 fois par semaine,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sur les 15 prochains jours."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</w:t>
            </w:r>
          </w:p>
          <w:p w:rsidR="00311B61" w:rsidRPr="007801E5" w:rsidRDefault="0012649F">
            <w:pPr>
              <w:spacing w:before="30" w:after="30"/>
              <w:rPr>
                <w:rFonts w:ascii="Book Antiqua" w:hAnsi="Book Antiqua"/>
              </w:rPr>
            </w:pPr>
            <w:r w:rsidRPr="007801E5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7801E5">
              <w:rPr>
                <w:rFonts w:ascii="Book Antiqua" w:hAnsi="Book Antiqua"/>
                <w:color w:val="222222"/>
                <w:sz w:val="19"/>
                <w:szCs w:val="19"/>
              </w:rPr>
              <w:t xml:space="preserve">  → Pas d'objectif trop ambitieux dès le départ !</w:t>
            </w:r>
          </w:p>
        </w:tc>
      </w:tr>
    </w:tbl>
    <w:p w:rsidR="00311B61" w:rsidRPr="007801E5" w:rsidRDefault="00311B61">
      <w:pPr>
        <w:spacing w:before="200"/>
        <w:rPr>
          <w:rFonts w:ascii="Book Antiqua" w:hAnsi="Book Antiqua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311B61" w:rsidRPr="007801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Segoe UI Symbol" w:hAnsi="Segoe UI Symbol" w:cs="Segoe UI Symbol"/>
                <w:b/>
                <w:bCs/>
                <w:color w:val="FFFFFF"/>
                <w:sz w:val="22"/>
                <w:szCs w:val="22"/>
              </w:rPr>
              <w:t>💡</w:t>
            </w:r>
            <w:r w:rsidRPr="007801E5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 xml:space="preserve"> RÉCAPITULATIF — LES 5 PILIERS DU PHV FEMME SPORTIVE</w:t>
            </w:r>
          </w:p>
          <w:p w:rsidR="00311B61" w:rsidRPr="007801E5" w:rsidRDefault="00311B61">
            <w:pPr>
              <w:spacing w:before="80"/>
              <w:rPr>
                <w:rFonts w:ascii="Book Antiqua" w:hAnsi="Book Antiqua"/>
              </w:rPr>
            </w:pPr>
          </w:p>
          <w:p w:rsidR="00311B61" w:rsidRPr="007801E5" w:rsidRDefault="0012649F">
            <w:pPr>
              <w:jc w:val="center"/>
              <w:rPr>
                <w:rFonts w:ascii="Book Antiqua" w:hAnsi="Book Antiqua"/>
              </w:rPr>
            </w:pPr>
            <w:r w:rsidRPr="007801E5">
              <w:rPr>
                <w:rFonts w:ascii="Book Antiqua" w:hAnsi="Book Antiqua" w:cs="Book Antiqua"/>
                <w:b/>
                <w:bCs/>
                <w:color w:val="C8B8E8"/>
              </w:rPr>
              <w:t>🥗</w:t>
            </w:r>
            <w:r w:rsidRPr="007801E5">
              <w:rPr>
                <w:rFonts w:ascii="Book Antiqua" w:hAnsi="Book Antiqua"/>
                <w:b/>
                <w:bCs/>
                <w:color w:val="C8B8E8"/>
              </w:rPr>
              <w:t xml:space="preserve"> ALIMENTATION</w:t>
            </w:r>
            <w:r w:rsidRPr="007801E5">
              <w:rPr>
                <w:rFonts w:ascii="Book Antiqua" w:hAnsi="Book Antiqua"/>
                <w:color w:val="FFFFFF"/>
              </w:rPr>
              <w:t xml:space="preserve">  ·  </w:t>
            </w:r>
            <w:r w:rsidRPr="007801E5">
              <w:rPr>
                <w:rFonts w:ascii="Segoe UI Symbol" w:hAnsi="Segoe UI Symbol" w:cs="Segoe UI Symbol"/>
                <w:b/>
                <w:bCs/>
                <w:color w:val="C8B8E8"/>
              </w:rPr>
              <w:t>💧</w:t>
            </w:r>
            <w:r w:rsidRPr="007801E5">
              <w:rPr>
                <w:rFonts w:ascii="Book Antiqua" w:hAnsi="Book Antiqua"/>
                <w:b/>
                <w:bCs/>
                <w:color w:val="C8B8E8"/>
              </w:rPr>
              <w:t xml:space="preserve"> HYDRATATION</w:t>
            </w:r>
            <w:r w:rsidRPr="007801E5">
              <w:rPr>
                <w:rFonts w:ascii="Book Antiqua" w:hAnsi="Book Antiqua"/>
                <w:color w:val="FFFFFF"/>
              </w:rPr>
              <w:t xml:space="preserve">  ·  </w:t>
            </w:r>
            <w:r w:rsidRPr="007801E5">
              <w:rPr>
                <w:rFonts w:ascii="Segoe UI Symbol" w:hAnsi="Segoe UI Symbol" w:cs="Segoe UI Symbol"/>
                <w:b/>
                <w:bCs/>
                <w:color w:val="C8B8E8"/>
              </w:rPr>
              <w:t>🏃</w:t>
            </w:r>
            <w:r w:rsidRPr="007801E5">
              <w:rPr>
                <w:rFonts w:ascii="Book Antiqua" w:hAnsi="Book Antiqua"/>
                <w:b/>
                <w:bCs/>
                <w:color w:val="C8B8E8"/>
              </w:rPr>
              <w:t xml:space="preserve"> ACTIVITÉ PHYSIQUE</w:t>
            </w:r>
            <w:r w:rsidRPr="007801E5">
              <w:rPr>
                <w:rFonts w:ascii="Book Antiqua" w:hAnsi="Book Antiqua"/>
                <w:color w:val="FFFFFF"/>
              </w:rPr>
              <w:t xml:space="preserve">  ·  </w:t>
            </w:r>
            <w:r w:rsidRPr="007801E5">
              <w:rPr>
                <w:rFonts w:ascii="Segoe UI Symbol" w:hAnsi="Segoe UI Symbol" w:cs="Segoe UI Symbol"/>
                <w:b/>
                <w:bCs/>
                <w:color w:val="C8B8E8"/>
              </w:rPr>
              <w:t>🌿</w:t>
            </w:r>
            <w:r w:rsidRPr="007801E5">
              <w:rPr>
                <w:rFonts w:ascii="Book Antiqua" w:hAnsi="Book Antiqua"/>
                <w:b/>
                <w:bCs/>
                <w:color w:val="C8B8E8"/>
              </w:rPr>
              <w:t xml:space="preserve"> MICRONUTRITION</w:t>
            </w:r>
            <w:r w:rsidRPr="007801E5">
              <w:rPr>
                <w:rFonts w:ascii="Book Antiqua" w:hAnsi="Book Antiqua"/>
                <w:color w:val="FFFFFF"/>
              </w:rPr>
              <w:t xml:space="preserve">  ·  </w:t>
            </w:r>
            <w:r w:rsidRPr="007801E5">
              <w:rPr>
                <w:rFonts w:ascii="Book Antiqua" w:hAnsi="Book Antiqua" w:cs="Book Antiqua"/>
                <w:b/>
                <w:bCs/>
                <w:color w:val="C8B8E8"/>
              </w:rPr>
              <w:t>🧘</w:t>
            </w:r>
            <w:r w:rsidRPr="007801E5">
              <w:rPr>
                <w:rFonts w:ascii="Book Antiqua" w:hAnsi="Book Antiqua"/>
                <w:b/>
                <w:bCs/>
                <w:color w:val="C8B8E8"/>
              </w:rPr>
              <w:t xml:space="preserve"> GESTION DU STRESS</w:t>
            </w:r>
          </w:p>
        </w:tc>
      </w:tr>
    </w:tbl>
    <w:p w:rsidR="0012649F" w:rsidRPr="007801E5" w:rsidRDefault="0012649F">
      <w:pPr>
        <w:rPr>
          <w:rFonts w:ascii="Book Antiqua" w:hAnsi="Book Antiqua"/>
        </w:rPr>
      </w:pPr>
    </w:p>
    <w:sectPr w:rsidR="0012649F" w:rsidRPr="007801E5" w:rsidSect="007801E5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49F" w:rsidRDefault="0012649F" w:rsidP="007801E5">
      <w:r>
        <w:separator/>
      </w:r>
    </w:p>
  </w:endnote>
  <w:endnote w:type="continuationSeparator" w:id="0">
    <w:p w:rsidR="0012649F" w:rsidRDefault="0012649F" w:rsidP="00780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8346256"/>
      <w:docPartObj>
        <w:docPartGallery w:val="Page Numbers (Bottom of Page)"/>
        <w:docPartUnique/>
      </w:docPartObj>
    </w:sdtPr>
    <w:sdtContent>
      <w:p w:rsidR="007801E5" w:rsidRDefault="007801E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801E5" w:rsidRDefault="007801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49F" w:rsidRDefault="0012649F" w:rsidP="007801E5">
      <w:r>
        <w:separator/>
      </w:r>
    </w:p>
  </w:footnote>
  <w:footnote w:type="continuationSeparator" w:id="0">
    <w:p w:rsidR="0012649F" w:rsidRDefault="0012649F" w:rsidP="00780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10870"/>
    <w:multiLevelType w:val="hybridMultilevel"/>
    <w:tmpl w:val="E5126CF2"/>
    <w:lvl w:ilvl="0" w:tplc="21AC3544">
      <w:start w:val="1"/>
      <w:numFmt w:val="bullet"/>
      <w:lvlText w:val="–"/>
      <w:lvlJc w:val="left"/>
      <w:pPr>
        <w:ind w:left="720" w:hanging="280"/>
      </w:pPr>
    </w:lvl>
    <w:lvl w:ilvl="1" w:tplc="F8B8570A">
      <w:numFmt w:val="decimal"/>
      <w:lvlText w:val=""/>
      <w:lvlJc w:val="left"/>
    </w:lvl>
    <w:lvl w:ilvl="2" w:tplc="7CAC4A1E">
      <w:numFmt w:val="decimal"/>
      <w:lvlText w:val=""/>
      <w:lvlJc w:val="left"/>
    </w:lvl>
    <w:lvl w:ilvl="3" w:tplc="C82CC17C">
      <w:numFmt w:val="decimal"/>
      <w:lvlText w:val=""/>
      <w:lvlJc w:val="left"/>
    </w:lvl>
    <w:lvl w:ilvl="4" w:tplc="6E90042E">
      <w:numFmt w:val="decimal"/>
      <w:lvlText w:val=""/>
      <w:lvlJc w:val="left"/>
    </w:lvl>
    <w:lvl w:ilvl="5" w:tplc="A8D0D2BA">
      <w:numFmt w:val="decimal"/>
      <w:lvlText w:val=""/>
      <w:lvlJc w:val="left"/>
    </w:lvl>
    <w:lvl w:ilvl="6" w:tplc="A3B61BB6">
      <w:numFmt w:val="decimal"/>
      <w:lvlText w:val=""/>
      <w:lvlJc w:val="left"/>
    </w:lvl>
    <w:lvl w:ilvl="7" w:tplc="8074899E">
      <w:numFmt w:val="decimal"/>
      <w:lvlText w:val=""/>
      <w:lvlJc w:val="left"/>
    </w:lvl>
    <w:lvl w:ilvl="8" w:tplc="F59E432A">
      <w:numFmt w:val="decimal"/>
      <w:lvlText w:val=""/>
      <w:lvlJc w:val="left"/>
    </w:lvl>
  </w:abstractNum>
  <w:abstractNum w:abstractNumId="1" w15:restartNumberingAfterBreak="0">
    <w:nsid w:val="4F830F99"/>
    <w:multiLevelType w:val="hybridMultilevel"/>
    <w:tmpl w:val="40EC1DBA"/>
    <w:lvl w:ilvl="0" w:tplc="D97E35D2">
      <w:start w:val="1"/>
      <w:numFmt w:val="bullet"/>
      <w:lvlText w:val="•"/>
      <w:lvlJc w:val="left"/>
      <w:pPr>
        <w:ind w:left="480" w:hanging="280"/>
      </w:pPr>
    </w:lvl>
    <w:lvl w:ilvl="1" w:tplc="4BB011E6">
      <w:numFmt w:val="decimal"/>
      <w:lvlText w:val=""/>
      <w:lvlJc w:val="left"/>
    </w:lvl>
    <w:lvl w:ilvl="2" w:tplc="F45CFC34">
      <w:numFmt w:val="decimal"/>
      <w:lvlText w:val=""/>
      <w:lvlJc w:val="left"/>
    </w:lvl>
    <w:lvl w:ilvl="3" w:tplc="1A66407A">
      <w:numFmt w:val="decimal"/>
      <w:lvlText w:val=""/>
      <w:lvlJc w:val="left"/>
    </w:lvl>
    <w:lvl w:ilvl="4" w:tplc="FCD4E186">
      <w:numFmt w:val="decimal"/>
      <w:lvlText w:val=""/>
      <w:lvlJc w:val="left"/>
    </w:lvl>
    <w:lvl w:ilvl="5" w:tplc="50EE16E8">
      <w:numFmt w:val="decimal"/>
      <w:lvlText w:val=""/>
      <w:lvlJc w:val="left"/>
    </w:lvl>
    <w:lvl w:ilvl="6" w:tplc="1F3C8E34">
      <w:numFmt w:val="decimal"/>
      <w:lvlText w:val=""/>
      <w:lvlJc w:val="left"/>
    </w:lvl>
    <w:lvl w:ilvl="7" w:tplc="EA847A04">
      <w:numFmt w:val="decimal"/>
      <w:lvlText w:val=""/>
      <w:lvlJc w:val="left"/>
    </w:lvl>
    <w:lvl w:ilvl="8" w:tplc="8B4A1686">
      <w:numFmt w:val="decimal"/>
      <w:lvlText w:val=""/>
      <w:lvlJc w:val="left"/>
    </w:lvl>
  </w:abstractNum>
  <w:abstractNum w:abstractNumId="2" w15:restartNumberingAfterBreak="0">
    <w:nsid w:val="6CDA3F55"/>
    <w:multiLevelType w:val="hybridMultilevel"/>
    <w:tmpl w:val="C510A6FE"/>
    <w:lvl w:ilvl="0" w:tplc="CC127E02">
      <w:start w:val="1"/>
      <w:numFmt w:val="bullet"/>
      <w:lvlText w:val="●"/>
      <w:lvlJc w:val="left"/>
      <w:pPr>
        <w:ind w:left="720" w:hanging="360"/>
      </w:pPr>
    </w:lvl>
    <w:lvl w:ilvl="1" w:tplc="9676A854">
      <w:start w:val="1"/>
      <w:numFmt w:val="bullet"/>
      <w:lvlText w:val="○"/>
      <w:lvlJc w:val="left"/>
      <w:pPr>
        <w:ind w:left="1440" w:hanging="360"/>
      </w:pPr>
    </w:lvl>
    <w:lvl w:ilvl="2" w:tplc="3B3026A2">
      <w:start w:val="1"/>
      <w:numFmt w:val="bullet"/>
      <w:lvlText w:val="■"/>
      <w:lvlJc w:val="left"/>
      <w:pPr>
        <w:ind w:left="2160" w:hanging="360"/>
      </w:pPr>
    </w:lvl>
    <w:lvl w:ilvl="3" w:tplc="6EE6DF20">
      <w:start w:val="1"/>
      <w:numFmt w:val="bullet"/>
      <w:lvlText w:val="●"/>
      <w:lvlJc w:val="left"/>
      <w:pPr>
        <w:ind w:left="2880" w:hanging="360"/>
      </w:pPr>
    </w:lvl>
    <w:lvl w:ilvl="4" w:tplc="4F2E3084">
      <w:start w:val="1"/>
      <w:numFmt w:val="bullet"/>
      <w:lvlText w:val="○"/>
      <w:lvlJc w:val="left"/>
      <w:pPr>
        <w:ind w:left="3600" w:hanging="360"/>
      </w:pPr>
    </w:lvl>
    <w:lvl w:ilvl="5" w:tplc="8D4E672A">
      <w:start w:val="1"/>
      <w:numFmt w:val="bullet"/>
      <w:lvlText w:val="■"/>
      <w:lvlJc w:val="left"/>
      <w:pPr>
        <w:ind w:left="4320" w:hanging="360"/>
      </w:pPr>
    </w:lvl>
    <w:lvl w:ilvl="6" w:tplc="30DE211E">
      <w:start w:val="1"/>
      <w:numFmt w:val="bullet"/>
      <w:lvlText w:val="●"/>
      <w:lvlJc w:val="left"/>
      <w:pPr>
        <w:ind w:left="5040" w:hanging="360"/>
      </w:pPr>
    </w:lvl>
    <w:lvl w:ilvl="7" w:tplc="EC704878">
      <w:start w:val="1"/>
      <w:numFmt w:val="bullet"/>
      <w:lvlText w:val="●"/>
      <w:lvlJc w:val="left"/>
      <w:pPr>
        <w:ind w:left="5760" w:hanging="360"/>
      </w:pPr>
    </w:lvl>
    <w:lvl w:ilvl="8" w:tplc="74FC49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B61"/>
    <w:rsid w:val="0012649F"/>
    <w:rsid w:val="00311B61"/>
    <w:rsid w:val="0078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44D34"/>
  <w15:docId w15:val="{F409B0D2-E226-4F66-A29D-81088275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801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801E5"/>
  </w:style>
  <w:style w:type="paragraph" w:styleId="Pieddepage">
    <w:name w:val="footer"/>
    <w:basedOn w:val="Normal"/>
    <w:link w:val="PieddepageCar"/>
    <w:uiPriority w:val="99"/>
    <w:unhideWhenUsed/>
    <w:rsid w:val="007801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80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1590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Stéphanie</cp:lastModifiedBy>
  <cp:revision>2</cp:revision>
  <dcterms:created xsi:type="dcterms:W3CDTF">2026-03-09T10:33:00Z</dcterms:created>
  <dcterms:modified xsi:type="dcterms:W3CDTF">2026-03-09T10:33:00Z</dcterms:modified>
</cp:coreProperties>
</file>