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65D1C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DDE578E" w14:textId="77777777" w:rsidR="004B401B" w:rsidRPr="0081678C" w:rsidRDefault="00A850F0">
            <w:pPr>
              <w:jc w:val="center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b/>
                <w:bCs/>
                <w:color w:val="FFFFFF"/>
                <w:sz w:val="32"/>
                <w:szCs w:val="32"/>
              </w:rPr>
              <w:t>ALLERGIES ALIMENTAIRES</w:t>
            </w:r>
          </w:p>
        </w:tc>
      </w:tr>
    </w:tbl>
    <w:p w14:paraId="3BA0A2FA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37E18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9915AF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📋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DÉFINITION</w:t>
            </w:r>
          </w:p>
        </w:tc>
      </w:tr>
      <w:tr w:rsidR="004B401B" w:rsidRPr="0081678C" w14:paraId="4305B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A8FF2E" w14:textId="6B4B047A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Réaction d'hypersensibilité IMMÉDIATE de type I (classification de Gell et </w:t>
            </w:r>
            <w:r w:rsidR="00CE5721" w:rsidRPr="0081678C">
              <w:rPr>
                <w:rFonts w:ascii="Book Antiqua" w:eastAsia="Arial" w:hAnsi="Book Antiqua" w:cs="Arial"/>
                <w:sz w:val="22"/>
                <w:szCs w:val="22"/>
              </w:rPr>
              <w:t>Coombs)</w:t>
            </w:r>
            <w:r w:rsidR="00CE5721">
              <w:rPr>
                <w:rFonts w:ascii="Book Antiqua" w:eastAsia="Arial" w:hAnsi="Book Antiqua" w:cs="Arial"/>
                <w:sz w:val="22"/>
                <w:szCs w:val="22"/>
              </w:rPr>
              <w:t xml:space="preserve"> Souvent</w:t>
            </w:r>
            <w:r w:rsidR="00BC0572">
              <w:rPr>
                <w:rFonts w:ascii="Book Antiqua" w:eastAsia="Arial" w:hAnsi="Book Antiqua" w:cs="Arial"/>
                <w:sz w:val="22"/>
                <w:szCs w:val="22"/>
              </w:rPr>
              <w:t xml:space="preserve"> un aliment transformé.</w:t>
            </w:r>
          </w:p>
          <w:p w14:paraId="08526021" w14:textId="77777777" w:rsidR="004B401B" w:rsidRPr="0081678C" w:rsidRDefault="004B401B">
            <w:pPr>
              <w:spacing w:after="100"/>
              <w:rPr>
                <w:rFonts w:ascii="Book Antiqua" w:hAnsi="Book Antiqua"/>
              </w:rPr>
            </w:pPr>
          </w:p>
          <w:p w14:paraId="5B3E925A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Provoquée par ingestion d'une substance alimentaire (incluant additifs alimentaires)</w:t>
            </w:r>
          </w:p>
          <w:p w14:paraId="0A8161A9" w14:textId="77777777" w:rsidR="004B401B" w:rsidRPr="0081678C" w:rsidRDefault="004B401B">
            <w:pPr>
              <w:spacing w:after="100"/>
              <w:rPr>
                <w:rFonts w:ascii="Book Antiqua" w:hAnsi="Book Antiqua"/>
              </w:rPr>
            </w:pPr>
          </w:p>
          <w:p w14:paraId="208C5781" w14:textId="22B72BEB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Allergie et intolérance alimentaire = réactions d'hypersensibilité à un aliment </w:t>
            </w:r>
            <w:r w:rsidR="00CE5721">
              <w:rPr>
                <w:rFonts w:ascii="Book Antiqua" w:eastAsia="Arial" w:hAnsi="Book Antiqua" w:cs="Arial"/>
                <w:sz w:val="22"/>
                <w:szCs w:val="22"/>
              </w:rPr>
              <w:t xml:space="preserve">ou </w:t>
            </w:r>
            <w:r w:rsidR="00A02AEB">
              <w:rPr>
                <w:rFonts w:ascii="Book Antiqua" w:eastAsia="Arial" w:hAnsi="Book Antiqua" w:cs="Arial"/>
                <w:sz w:val="22"/>
                <w:szCs w:val="22"/>
              </w:rPr>
              <w:t xml:space="preserve">un des composants de l’aliment </w:t>
            </w: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normalement inoffensif</w:t>
            </w:r>
          </w:p>
        </w:tc>
      </w:tr>
    </w:tbl>
    <w:p w14:paraId="4C82D951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3E22D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D7DC14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📊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PRÉVALENCE &amp; CONTEXTE</w:t>
            </w:r>
          </w:p>
        </w:tc>
      </w:tr>
      <w:tr w:rsidR="004B401B" w:rsidRPr="0081678C" w14:paraId="6E5CF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907F1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Depuis 1970 : prévalence EXPONENTIELLE</w:t>
            </w:r>
          </w:p>
          <w:p w14:paraId="3EC2817E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Actuellement : 30 à 40% de la population mondiale touchée</w:t>
            </w:r>
          </w:p>
          <w:p w14:paraId="46EE898D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Estimation OMS : moitié de la population en 2050</w:t>
            </w:r>
          </w:p>
          <w:p w14:paraId="481FCAB4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Problème de santé publique MAJEUR</w:t>
            </w:r>
          </w:p>
          <w:p w14:paraId="06B02520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Coût en France : 16 milliards €/an</w:t>
            </w:r>
          </w:p>
          <w:p w14:paraId="2E8CE5E9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Absence de traitement curatif efficace → stratégies de prévention primaire</w:t>
            </w:r>
          </w:p>
        </w:tc>
      </w:tr>
    </w:tbl>
    <w:p w14:paraId="7FBE0227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50CF3F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65A09C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🔄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LA MARCHE </w:t>
            </w:r>
            <w:proofErr w:type="spellStart"/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ATOPIQUE</w:t>
            </w:r>
            <w:proofErr w:type="spellEnd"/>
          </w:p>
        </w:tc>
      </w:tr>
      <w:tr w:rsidR="004B401B" w:rsidRPr="0081678C" w14:paraId="7775BD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CB1390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Succession de plusieurs maladies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atopiques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:</w:t>
            </w:r>
          </w:p>
          <w:p w14:paraId="3EBA3FDF" w14:textId="77777777" w:rsidR="004B401B" w:rsidRPr="0081678C" w:rsidRDefault="004B401B">
            <w:pPr>
              <w:spacing w:after="100"/>
              <w:rPr>
                <w:rFonts w:ascii="Book Antiqua" w:hAnsi="Book Antiqua"/>
              </w:rPr>
            </w:pPr>
          </w:p>
          <w:p w14:paraId="0A312F92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Dermatite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atopique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(DA) → Allergie alimentaire → Asthme →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Rhinite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allergique</w:t>
            </w:r>
          </w:p>
          <w:p w14:paraId="1BFABA8D" w14:textId="77777777" w:rsidR="004B401B" w:rsidRPr="0081678C" w:rsidRDefault="004B401B">
            <w:pPr>
              <w:spacing w:after="100"/>
              <w:rPr>
                <w:rFonts w:ascii="Book Antiqua" w:hAnsi="Book Antiqua"/>
              </w:rPr>
            </w:pPr>
          </w:p>
          <w:p w14:paraId="7CD363C6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50% des patients atteints de DA développent cette succession</w:t>
            </w:r>
          </w:p>
          <w:p w14:paraId="54A797BE" w14:textId="77777777" w:rsidR="004B401B" w:rsidRPr="0081678C" w:rsidRDefault="004B401B">
            <w:pPr>
              <w:spacing w:after="100"/>
              <w:rPr>
                <w:rFonts w:ascii="Book Antiqua" w:hAnsi="Book Antiqua"/>
              </w:rPr>
            </w:pPr>
          </w:p>
          <w:p w14:paraId="3C7534C2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Eczéma = manifestation la plus précoce et la plus fréquente, souvent associée à l'allergie alimentaire</w:t>
            </w:r>
          </w:p>
        </w:tc>
      </w:tr>
    </w:tbl>
    <w:p w14:paraId="7AE2C655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6562F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DF9BA5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🔬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ÉTIOLOGIE - Causes </w:t>
            </w:r>
            <w:proofErr w:type="spellStart"/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multifactorielles</w:t>
            </w:r>
            <w:proofErr w:type="spellEnd"/>
          </w:p>
        </w:tc>
      </w:tr>
      <w:tr w:rsidR="004B401B" w:rsidRPr="0081678C" w14:paraId="6560D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C50BC2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Dysfonctionnement de 3 acteurs biologiques majeurs :</w:t>
            </w:r>
          </w:p>
        </w:tc>
      </w:tr>
      <w:tr w:rsidR="004B401B" w:rsidRPr="0081678C" w14:paraId="760C4B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C37008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: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Dysbiose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(cause ou conséquence ?)</w:t>
            </w:r>
          </w:p>
          <w:p w14:paraId="17ADC417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MUQUEUSES : Rupture de l'intégrité des barrières épithéliales</w:t>
            </w:r>
          </w:p>
          <w:p w14:paraId="00487064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SYSTÈME IMMUNITAIRE : Défaut de tolérance immune</w:t>
            </w:r>
          </w:p>
        </w:tc>
      </w:tr>
    </w:tbl>
    <w:p w14:paraId="50AAD734" w14:textId="133F23E9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61EF79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0EC02E" w14:textId="6D8620CC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⚙</w:t>
            </w: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️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MÉCANISMES IMMUNITAIRES</w:t>
            </w:r>
          </w:p>
        </w:tc>
      </w:tr>
      <w:tr w:rsidR="004B401B" w:rsidRPr="0081678C" w14:paraId="68AF3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21A10B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Présence d'immunoglobulines E (IgE) dirigées contre un allergène</w:t>
            </w:r>
          </w:p>
          <w:p w14:paraId="142BF379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Déséquilibre en faveur des réponses Th2</w:t>
            </w:r>
          </w:p>
          <w:p w14:paraId="75281F94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Dysfonctionnement des réponses régulatrices (cellules lymphoïdes innées, dendritiques)</w:t>
            </w:r>
          </w:p>
          <w:p w14:paraId="1F505A91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Dysbiose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des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microbiotes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: intestinaux, cutanés, respiratoires</w:t>
            </w:r>
          </w:p>
        </w:tc>
      </w:tr>
    </w:tbl>
    <w:p w14:paraId="242EAA49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2B98C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4783D1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🦠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RÔLE DU </w:t>
            </w:r>
            <w:proofErr w:type="spellStart"/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MICROBIOTE</w:t>
            </w:r>
            <w:proofErr w:type="spellEnd"/>
          </w:p>
        </w:tc>
      </w:tr>
      <w:tr w:rsidR="004B401B" w:rsidRPr="0081678C" w14:paraId="261322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EA8593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DYSBIOSE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précédant le développement de l'allergie alimentaire :</w:t>
            </w:r>
          </w:p>
        </w:tc>
      </w:tr>
      <w:tr w:rsidR="004B401B" w:rsidRPr="0081678C" w14:paraId="16776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1701BE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Faible richesse microbienne intestinale (α-diversité) à 3 mois → probabilité accrue d'allergie à 1 an</w:t>
            </w:r>
          </w:p>
          <w:p w14:paraId="58AAAAD7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Entérobactéries SURREPRÉSENTÉES chez enfants allergiques</w:t>
            </w:r>
          </w:p>
          <w:p w14:paraId="2668EBA0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Bacteroides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SOUS-REPRÉSENTÉES chez enfants allergiques</w:t>
            </w:r>
          </w:p>
          <w:p w14:paraId="222413B9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intestinal spécifique → défaut de maturation du SI</w:t>
            </w:r>
          </w:p>
          <w:p w14:paraId="5D155554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La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dysbiose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intestinale = CAUSE MAJEURE du développement des allergies</w:t>
            </w:r>
          </w:p>
        </w:tc>
      </w:tr>
    </w:tbl>
    <w:p w14:paraId="7EF98DDE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7A9B8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C47A7B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👶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LES 1000 PREMIERS JOURS</w:t>
            </w:r>
          </w:p>
        </w:tc>
      </w:tr>
      <w:tr w:rsidR="004B401B" w:rsidRPr="0081678C" w14:paraId="1899E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4AB1F5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Période CLÉ pour la mise en place du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intestinal :</w:t>
            </w:r>
          </w:p>
        </w:tc>
      </w:tr>
      <w:tr w:rsidR="004B401B" w:rsidRPr="0081678C" w14:paraId="6F044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5BE811" w14:textId="0AFF5BB0" w:rsidR="004B401B" w:rsidRPr="001F670B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  <w:b/>
                <w:bCs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Environnement et composition du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maternel </w:t>
            </w:r>
            <w:r w:rsidR="00400168">
              <w:rPr>
                <w:rFonts w:ascii="Book Antiqua" w:eastAsia="Arial" w:hAnsi="Book Antiqua" w:cs="Arial"/>
                <w:b/>
                <w:bCs/>
                <w:sz w:val="22"/>
                <w:szCs w:val="22"/>
              </w:rPr>
              <w:t xml:space="preserve"> </w:t>
            </w:r>
          </w:p>
          <w:p w14:paraId="57E2CD09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Présence d'un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IN-UTERO (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Firmicutes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Tenericutes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Proteobacteria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Bacteroidetes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Fusobacteria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32E0AB96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Transplantation microbienne mère-enfant</w:t>
            </w:r>
          </w:p>
          <w:p w14:paraId="702360BF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Mode d'accouchement : Césarienne → diversité microbienne plus faible</w:t>
            </w:r>
          </w:p>
          <w:p w14:paraId="184375A0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L'allaitement : HMO, IgA, facteurs anti-microbiens</w:t>
            </w:r>
          </w:p>
        </w:tc>
      </w:tr>
    </w:tbl>
    <w:p w14:paraId="121A31FA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0C9555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FC0696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🌍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IMPACT DE </w:t>
            </w:r>
            <w:proofErr w:type="spellStart"/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L'EXPOSOME</w:t>
            </w:r>
            <w:proofErr w:type="spellEnd"/>
          </w:p>
        </w:tc>
      </w:tr>
      <w:tr w:rsidR="004B401B" w:rsidRPr="0081678C" w14:paraId="3769B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0D353D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Théorie hygiéniste</w:t>
            </w:r>
          </w:p>
          <w:p w14:paraId="0DC05974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Environnement</w:t>
            </w:r>
          </w:p>
          <w:p w14:paraId="27346706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Manque d'exposition aux allergènes</w:t>
            </w:r>
          </w:p>
          <w:p w14:paraId="20610748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Excès d'hygiène corporelle</w:t>
            </w:r>
          </w:p>
          <w:p w14:paraId="45610E2D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Prises d'antibiotiques</w:t>
            </w:r>
          </w:p>
        </w:tc>
      </w:tr>
      <w:tr w:rsidR="004B401B" w:rsidRPr="0081678C" w14:paraId="29662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9C89FA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→ L'exposition à ces facteurs environnementaux à des étapes clés du développement est CRUCIALE pour la santé future</w:t>
            </w:r>
          </w:p>
        </w:tc>
      </w:tr>
    </w:tbl>
    <w:p w14:paraId="4EC3CA43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717A0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33420F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⚡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MÉCANISME TYPE I (IMMÉDIATE)</w:t>
            </w:r>
          </w:p>
        </w:tc>
      </w:tr>
      <w:tr w:rsidR="004B401B" w:rsidRPr="0081678C" w14:paraId="18864F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17DD00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sz w:val="22"/>
                <w:szCs w:val="22"/>
              </w:rPr>
              <w:t>🔹</w:t>
            </w: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PHASE 1 : SENSIBILISATION</w:t>
            </w:r>
          </w:p>
        </w:tc>
      </w:tr>
      <w:tr w:rsidR="004B401B" w:rsidRPr="0081678C" w14:paraId="5C2A2F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9ED708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1er contact avec l'allergène</w:t>
            </w:r>
          </w:p>
          <w:p w14:paraId="2FAC359C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Production d'anticorps IgE par lymphocytes B</w:t>
            </w:r>
          </w:p>
          <w:p w14:paraId="7C916421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Fixation des IgE sur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mastocytes</w:t>
            </w:r>
            <w:proofErr w:type="spellEnd"/>
          </w:p>
          <w:p w14:paraId="70BB4A9C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Système prêt à déclencher une réaction allergique</w:t>
            </w:r>
          </w:p>
        </w:tc>
      </w:tr>
      <w:tr w:rsidR="004B401B" w:rsidRPr="0081678C" w14:paraId="41A83E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7A3DF8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sz w:val="22"/>
                <w:szCs w:val="22"/>
              </w:rPr>
              <w:lastRenderedPageBreak/>
              <w:t>🔹</w:t>
            </w: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PHASE 2 : DÉCLENCHEMENT</w:t>
            </w:r>
          </w:p>
        </w:tc>
      </w:tr>
      <w:tr w:rsidR="004B401B" w:rsidRPr="0081678C" w14:paraId="325E01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6E605C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2ème contact avec l'allergène</w:t>
            </w:r>
          </w:p>
          <w:p w14:paraId="1B73A80E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Allergène capté par les IgE sur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mastocytes</w:t>
            </w:r>
            <w:proofErr w:type="spellEnd"/>
          </w:p>
          <w:p w14:paraId="3F02D383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SIGNAL →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Dégranulation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des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mastocytes</w:t>
            </w:r>
            <w:proofErr w:type="spellEnd"/>
          </w:p>
          <w:p w14:paraId="6A792BCB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Libération HISTAMINE → réaction d'hypersensibilité</w:t>
            </w:r>
          </w:p>
          <w:p w14:paraId="4591F778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Libération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éicosanoïdes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(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prostaglandines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leucotriène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) et cytokines</w:t>
            </w:r>
          </w:p>
          <w:p w14:paraId="0BCF7F94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→ SYMPTÔMES de l'allergie alimentaire</w:t>
            </w:r>
          </w:p>
        </w:tc>
      </w:tr>
    </w:tbl>
    <w:p w14:paraId="5B5CD5A0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21E898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C4826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🩺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SYMPTÔMES</w:t>
            </w:r>
          </w:p>
        </w:tc>
      </w:tr>
      <w:tr w:rsidR="004B401B" w:rsidRPr="0081678C" w14:paraId="48E070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2761D0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Manifestations EXTRÊMEMENT VARIABLES :</w:t>
            </w:r>
          </w:p>
        </w:tc>
      </w:tr>
      <w:tr w:rsidR="004B401B" w:rsidRPr="0081678C" w14:paraId="5F098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424BD0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LOCALES : Troubles digestifs (douleur abdominale, diarrhées, gaz)</w:t>
            </w:r>
          </w:p>
          <w:p w14:paraId="3B6349B9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RESPIRATOIRES : Dysphonie, difficulté respiratoire</w:t>
            </w:r>
          </w:p>
          <w:p w14:paraId="6B100BE8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NEUROLOGIQUES : Céphalées, convulsions, vertiges, troubles concentration, somnolence, dépression,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hyperactivité</w:t>
            </w:r>
            <w:proofErr w:type="spellEnd"/>
          </w:p>
          <w:p w14:paraId="61A5AAFB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MUSCULO-SQUELETTIQUES : Arthrite, douleurs articulaires/musculaires,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fibromyalgie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, crampes</w:t>
            </w:r>
          </w:p>
          <w:p w14:paraId="2B9D4803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CUTANÉS : Urticaire, eczéma, DA, acné, psoriasis, rougeurs, démangeaisons</w:t>
            </w:r>
          </w:p>
          <w:p w14:paraId="4BE052FC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RÉNAUX : Insuffisance rénale</w:t>
            </w:r>
          </w:p>
          <w:p w14:paraId="77DC7AB7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PANCRÉATIQUES : Diabète</w:t>
            </w:r>
          </w:p>
          <w:p w14:paraId="605CB145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CARDIAQUES :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Tachy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/bradycardie, hypotension artérielle</w:t>
            </w:r>
          </w:p>
        </w:tc>
      </w:tr>
    </w:tbl>
    <w:p w14:paraId="0BC26CDA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0FADCD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CB9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D698B9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🍽</w:t>
            </w: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️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ALIMENTS PRINCIPALEMENT IMPLIQUÉS</w:t>
            </w:r>
          </w:p>
        </w:tc>
      </w:tr>
      <w:tr w:rsidR="004B401B" w:rsidRPr="0081678C" w14:paraId="63DFD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B238C4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7 à 10% des enfants sont asthmatiques</w:t>
            </w:r>
          </w:p>
          <w:p w14:paraId="65387BB0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80% des asthmes sont d'origine allergique chez l'enfant</w:t>
            </w:r>
          </w:p>
          <w:p w14:paraId="42EDE987" w14:textId="77777777" w:rsidR="004B401B" w:rsidRPr="0081678C" w:rsidRDefault="004B401B">
            <w:pPr>
              <w:spacing w:after="100"/>
              <w:rPr>
                <w:rFonts w:ascii="Book Antiqua" w:hAnsi="Book Antiqua"/>
              </w:rPr>
            </w:pPr>
          </w:p>
          <w:p w14:paraId="3C24AAAC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15 à 20% des enfants ont un eczéma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atopique</w:t>
            </w:r>
            <w:proofErr w:type="spellEnd"/>
          </w:p>
          <w:p w14:paraId="65B45F06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15 à 20% des enfants souffrent de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rhinite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et de conjonctivite allergique</w:t>
            </w:r>
          </w:p>
          <w:p w14:paraId="53AE6183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6,2% des enfants d'âge scolaire sont atteints d'allergies alimentaires</w:t>
            </w:r>
          </w:p>
        </w:tc>
      </w:tr>
      <w:tr w:rsidR="004B401B" w:rsidRPr="0081678C" w14:paraId="5462F5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CF364D" w14:textId="77777777" w:rsidR="004B401B" w:rsidRPr="0081678C" w:rsidRDefault="00A850F0">
            <w:pPr>
              <w:spacing w:after="100"/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L'allergie alimentaire est 3 FOIS PLUS FRÉQUENTE chez l'enfant que chez l'adulte</w:t>
            </w:r>
          </w:p>
        </w:tc>
      </w:tr>
      <w:tr w:rsidR="004B401B" w:rsidRPr="0081678C" w14:paraId="4FF5D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666FF5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Lait, œuf, arachide, blé, noix</w:t>
            </w:r>
          </w:p>
          <w:p w14:paraId="3BE20B8E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Fruits à coque (noix, noisette, pistache...)</w:t>
            </w:r>
          </w:p>
          <w:p w14:paraId="69E222AC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Poisson, crustacés</w:t>
            </w:r>
          </w:p>
          <w:p w14:paraId="23590364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Soja</w:t>
            </w:r>
          </w:p>
          <w:p w14:paraId="28E3E42D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Moutarde, céleri</w:t>
            </w:r>
          </w:p>
          <w:p w14:paraId="49B56BD0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Sésame</w:t>
            </w:r>
          </w:p>
        </w:tc>
      </w:tr>
    </w:tbl>
    <w:p w14:paraId="2695DD1C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48D4BD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CEC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504786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🔬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TESTS DIAGNOSTIQUES</w:t>
            </w:r>
          </w:p>
        </w:tc>
      </w:tr>
      <w:tr w:rsidR="004B401B" w:rsidRPr="0081678C" w14:paraId="2AB5A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650EE9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Tests cutanés (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prick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tests) :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IgE-médiés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(urticaire,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angio-œdème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rhinoconjonctivite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, asthme)</w:t>
            </w:r>
          </w:p>
          <w:p w14:paraId="53F9D829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Dosage IgE spécifiques</w:t>
            </w:r>
          </w:p>
          <w:p w14:paraId="32E67CBB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Test de provocation orale (si doute diagnostique ou pour confirmer)</w:t>
            </w:r>
          </w:p>
          <w:p w14:paraId="4F4BD19F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Enquête de l'historique (carnet alimentaire)</w:t>
            </w:r>
          </w:p>
        </w:tc>
      </w:tr>
    </w:tbl>
    <w:p w14:paraId="163D7D7F" w14:textId="77777777" w:rsidR="004B401B" w:rsidRPr="0081678C" w:rsidRDefault="004B401B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401B" w:rsidRPr="0081678C" w14:paraId="4BA6D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042FB4" w14:textId="77777777" w:rsidR="004B401B" w:rsidRPr="0081678C" w:rsidRDefault="00A850F0">
            <w:pPr>
              <w:rPr>
                <w:rFonts w:ascii="Book Antiqua" w:hAnsi="Book Antiqua"/>
              </w:rPr>
            </w:pPr>
            <w:r w:rsidRPr="0081678C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💊</w:t>
            </w:r>
            <w:r w:rsidRPr="0081678C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TRAITEMENT ALLOPATHIQUE</w:t>
            </w:r>
          </w:p>
        </w:tc>
      </w:tr>
      <w:tr w:rsidR="004B401B" w:rsidRPr="0081678C" w14:paraId="12D41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F56CF6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Antihistaminiques H1 en cas d'anaphylaxie</w:t>
            </w:r>
          </w:p>
          <w:p w14:paraId="1461F8AE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Adrénaline IM (intramusculaire)</w:t>
            </w:r>
          </w:p>
          <w:p w14:paraId="0D8DE07D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Corticoïdes (si nécessaire)</w:t>
            </w:r>
          </w:p>
          <w:p w14:paraId="16E9D482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Bronchodilatateurs</w:t>
            </w:r>
            <w:proofErr w:type="spellEnd"/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 xml:space="preserve"> (en cas de composante asthmatique)</w:t>
            </w:r>
          </w:p>
          <w:p w14:paraId="238A4270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Éviction stricte de l'aliment</w:t>
            </w:r>
          </w:p>
          <w:p w14:paraId="0A2399E8" w14:textId="77777777" w:rsidR="004B401B" w:rsidRPr="0081678C" w:rsidRDefault="00A850F0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81678C">
              <w:rPr>
                <w:rFonts w:ascii="Book Antiqua" w:eastAsia="Arial" w:hAnsi="Book Antiqua" w:cs="Arial"/>
                <w:sz w:val="22"/>
                <w:szCs w:val="22"/>
              </w:rPr>
              <w:t>Trousse d'urgence (adrénaline auto-injectable)</w:t>
            </w:r>
          </w:p>
        </w:tc>
      </w:tr>
    </w:tbl>
    <w:p w14:paraId="6E72A3B2" w14:textId="77777777" w:rsidR="00A850F0" w:rsidRPr="0081678C" w:rsidRDefault="00A850F0">
      <w:pPr>
        <w:rPr>
          <w:rFonts w:ascii="Book Antiqua" w:hAnsi="Book Antiqua"/>
        </w:rPr>
      </w:pPr>
    </w:p>
    <w:sectPr w:rsidR="00000000" w:rsidRPr="0081678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10B2B"/>
    <w:multiLevelType w:val="hybridMultilevel"/>
    <w:tmpl w:val="FFFFFFFF"/>
    <w:lvl w:ilvl="0" w:tplc="5EAC66D6">
      <w:start w:val="1"/>
      <w:numFmt w:val="bullet"/>
      <w:lvlText w:val="•"/>
      <w:lvlJc w:val="left"/>
      <w:pPr>
        <w:ind w:left="720" w:hanging="360"/>
      </w:pPr>
    </w:lvl>
    <w:lvl w:ilvl="1" w:tplc="A1CE03C8">
      <w:numFmt w:val="decimal"/>
      <w:lvlText w:val=""/>
      <w:lvlJc w:val="left"/>
    </w:lvl>
    <w:lvl w:ilvl="2" w:tplc="550E651E">
      <w:numFmt w:val="decimal"/>
      <w:lvlText w:val=""/>
      <w:lvlJc w:val="left"/>
    </w:lvl>
    <w:lvl w:ilvl="3" w:tplc="99A60EF2">
      <w:numFmt w:val="decimal"/>
      <w:lvlText w:val=""/>
      <w:lvlJc w:val="left"/>
    </w:lvl>
    <w:lvl w:ilvl="4" w:tplc="D8665D0C">
      <w:numFmt w:val="decimal"/>
      <w:lvlText w:val=""/>
      <w:lvlJc w:val="left"/>
    </w:lvl>
    <w:lvl w:ilvl="5" w:tplc="0C9ADD08">
      <w:numFmt w:val="decimal"/>
      <w:lvlText w:val=""/>
      <w:lvlJc w:val="left"/>
    </w:lvl>
    <w:lvl w:ilvl="6" w:tplc="27263CEC">
      <w:numFmt w:val="decimal"/>
      <w:lvlText w:val=""/>
      <w:lvlJc w:val="left"/>
    </w:lvl>
    <w:lvl w:ilvl="7" w:tplc="7A3CEEB2">
      <w:numFmt w:val="decimal"/>
      <w:lvlText w:val=""/>
      <w:lvlJc w:val="left"/>
    </w:lvl>
    <w:lvl w:ilvl="8" w:tplc="CB3C426C">
      <w:numFmt w:val="decimal"/>
      <w:lvlText w:val=""/>
      <w:lvlJc w:val="left"/>
    </w:lvl>
  </w:abstractNum>
  <w:abstractNum w:abstractNumId="1" w15:restartNumberingAfterBreak="0">
    <w:nsid w:val="6D87107B"/>
    <w:multiLevelType w:val="hybridMultilevel"/>
    <w:tmpl w:val="FFFFFFFF"/>
    <w:lvl w:ilvl="0" w:tplc="E3E8F324">
      <w:start w:val="1"/>
      <w:numFmt w:val="bullet"/>
      <w:lvlText w:val="●"/>
      <w:lvlJc w:val="left"/>
      <w:pPr>
        <w:ind w:left="720" w:hanging="360"/>
      </w:pPr>
    </w:lvl>
    <w:lvl w:ilvl="1" w:tplc="43D48A80">
      <w:start w:val="1"/>
      <w:numFmt w:val="bullet"/>
      <w:lvlText w:val="○"/>
      <w:lvlJc w:val="left"/>
      <w:pPr>
        <w:ind w:left="1440" w:hanging="360"/>
      </w:pPr>
    </w:lvl>
    <w:lvl w:ilvl="2" w:tplc="B6E033A0">
      <w:start w:val="1"/>
      <w:numFmt w:val="bullet"/>
      <w:lvlText w:val="■"/>
      <w:lvlJc w:val="left"/>
      <w:pPr>
        <w:ind w:left="2160" w:hanging="360"/>
      </w:pPr>
    </w:lvl>
    <w:lvl w:ilvl="3" w:tplc="E1C84D84">
      <w:start w:val="1"/>
      <w:numFmt w:val="bullet"/>
      <w:lvlText w:val="●"/>
      <w:lvlJc w:val="left"/>
      <w:pPr>
        <w:ind w:left="2880" w:hanging="360"/>
      </w:pPr>
    </w:lvl>
    <w:lvl w:ilvl="4" w:tplc="5A30402E">
      <w:start w:val="1"/>
      <w:numFmt w:val="bullet"/>
      <w:lvlText w:val="○"/>
      <w:lvlJc w:val="left"/>
      <w:pPr>
        <w:ind w:left="3600" w:hanging="360"/>
      </w:pPr>
    </w:lvl>
    <w:lvl w:ilvl="5" w:tplc="87FEC080">
      <w:start w:val="1"/>
      <w:numFmt w:val="bullet"/>
      <w:lvlText w:val="■"/>
      <w:lvlJc w:val="left"/>
      <w:pPr>
        <w:ind w:left="4320" w:hanging="360"/>
      </w:pPr>
    </w:lvl>
    <w:lvl w:ilvl="6" w:tplc="9276388C">
      <w:start w:val="1"/>
      <w:numFmt w:val="bullet"/>
      <w:lvlText w:val="●"/>
      <w:lvlJc w:val="left"/>
      <w:pPr>
        <w:ind w:left="5040" w:hanging="360"/>
      </w:pPr>
    </w:lvl>
    <w:lvl w:ilvl="7" w:tplc="B0321212">
      <w:start w:val="1"/>
      <w:numFmt w:val="bullet"/>
      <w:lvlText w:val="●"/>
      <w:lvlJc w:val="left"/>
      <w:pPr>
        <w:ind w:left="5760" w:hanging="360"/>
      </w:pPr>
    </w:lvl>
    <w:lvl w:ilvl="8" w:tplc="94B8CEB0">
      <w:start w:val="1"/>
      <w:numFmt w:val="bullet"/>
      <w:lvlText w:val="●"/>
      <w:lvlJc w:val="left"/>
      <w:pPr>
        <w:ind w:left="6480" w:hanging="360"/>
      </w:pPr>
    </w:lvl>
  </w:abstractNum>
  <w:num w:numId="1" w16cid:durableId="1353802883">
    <w:abstractNumId w:val="1"/>
    <w:lvlOverride w:ilvl="0">
      <w:startOverride w:val="1"/>
    </w:lvlOverride>
  </w:num>
  <w:num w:numId="2" w16cid:durableId="822699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01B"/>
    <w:rsid w:val="00035937"/>
    <w:rsid w:val="001F670B"/>
    <w:rsid w:val="003B289F"/>
    <w:rsid w:val="00400168"/>
    <w:rsid w:val="004B401B"/>
    <w:rsid w:val="007B4D64"/>
    <w:rsid w:val="0081678C"/>
    <w:rsid w:val="008D0059"/>
    <w:rsid w:val="00A02AEB"/>
    <w:rsid w:val="00A850F0"/>
    <w:rsid w:val="00AB21A3"/>
    <w:rsid w:val="00BC0572"/>
    <w:rsid w:val="00CE5721"/>
    <w:rsid w:val="00D0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0E25EB"/>
  <w15:docId w15:val="{24867809-56B1-934A-9BA3-129E7B2B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736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2026-02-21T17:23:00Z</dcterms:created>
  <dcterms:modified xsi:type="dcterms:W3CDTF">2026-02-21T17:23:00Z</dcterms:modified>
</cp:coreProperties>
</file>