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169F70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2B27B7" w14:textId="77777777" w:rsidR="003F25BA" w:rsidRPr="00585B28" w:rsidRDefault="007A138D">
            <w:pPr>
              <w:jc w:val="center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>MALADIE CŒLIAQUE</w:t>
            </w:r>
          </w:p>
        </w:tc>
      </w:tr>
    </w:tbl>
    <w:p w14:paraId="7DAB89E1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72210F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D58376" w14:textId="75B9DBE6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DÉFINITION</w:t>
            </w:r>
            <w:r w:rsidR="00850E3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 : </w:t>
            </w:r>
            <w:r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Hypersensibilité retardé de type III</w:t>
            </w:r>
          </w:p>
        </w:tc>
      </w:tr>
      <w:tr w:rsidR="003F25BA" w:rsidRPr="00585B28" w14:paraId="7D5B9C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6E8F95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Affection gastro-intestinale DYS-IMMUNE à impact délétère sur la muqueuse intestinale interne</w:t>
            </w:r>
          </w:p>
          <w:p w14:paraId="218735F3" w14:textId="77777777" w:rsidR="003F25BA" w:rsidRPr="00585B28" w:rsidRDefault="003F25BA">
            <w:pPr>
              <w:spacing w:after="100"/>
              <w:rPr>
                <w:rFonts w:ascii="Book Antiqua" w:hAnsi="Book Antiqua"/>
              </w:rPr>
            </w:pPr>
          </w:p>
          <w:p w14:paraId="5B2D77A1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Déclenchée par la GLIADINE (protéine du gluten) → INTOLÉRANCE AU GLUTEN</w:t>
            </w:r>
          </w:p>
          <w:p w14:paraId="7A5338D8" w14:textId="77777777" w:rsidR="003F25BA" w:rsidRPr="00585B28" w:rsidRDefault="003F25BA">
            <w:pPr>
              <w:spacing w:after="100"/>
              <w:rPr>
                <w:rFonts w:ascii="Book Antiqua" w:hAnsi="Book Antiqua"/>
              </w:rPr>
            </w:pPr>
          </w:p>
          <w:p w14:paraId="65B8C31B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Réponse immunitaire inadaptée (prédisposition génétique) :</w:t>
            </w:r>
          </w:p>
          <w:p w14:paraId="7C21E0C2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→ En présence de gluten : activation lymphocytes T sensibles</w:t>
            </w:r>
          </w:p>
          <w:p w14:paraId="3AB87FA4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→ Réponse inflammatoire</w:t>
            </w:r>
          </w:p>
          <w:p w14:paraId="53059882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→ ATROPHIE VILLOSITAIRE (intestin grêle)</w:t>
            </w:r>
          </w:p>
          <w:p w14:paraId="18B89C94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→ Diminution absorption des nutriments (protéines, glucides, lipides, vitamines, minéraux...)</w:t>
            </w:r>
          </w:p>
        </w:tc>
      </w:tr>
    </w:tbl>
    <w:p w14:paraId="3E7F7B97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2E6F75F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B51EE8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📊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PRÉVALENCE</w:t>
            </w:r>
          </w:p>
        </w:tc>
      </w:tr>
      <w:tr w:rsidR="003F25BA" w:rsidRPr="00585B28" w14:paraId="49D942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D236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Europe : environ 1% de la population</w:t>
            </w:r>
          </w:p>
          <w:p w14:paraId="6412FEE0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700 000 malades cœliaques en France</w:t>
            </w:r>
          </w:p>
          <w:p w14:paraId="47C8D1E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Seulement 10 à 20% des cas diagnostiqués</w:t>
            </w:r>
          </w:p>
          <w:p w14:paraId="7E28A443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Formes graves &lt; 10% des maladies cœliaques</w:t>
            </w:r>
          </w:p>
          <w:p w14:paraId="7832A46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Majorité des cas peu ou asymptomatiques</w:t>
            </w:r>
          </w:p>
        </w:tc>
      </w:tr>
    </w:tbl>
    <w:p w14:paraId="2ECBCA6E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34E604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7BD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1A5E4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👥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ÂGE &amp; SEXE</w:t>
            </w:r>
          </w:p>
        </w:tc>
      </w:tr>
      <w:tr w:rsidR="003F25BA" w:rsidRPr="00585B28" w14:paraId="56DF70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3659F6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Se révèle le plus souvent dans l'ENFANCE (entre 6 mois et 2 ans)</w:t>
            </w:r>
          </w:p>
          <w:p w14:paraId="7B261A24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Entre 20 et 40 ans</w:t>
            </w:r>
          </w:p>
          <w:p w14:paraId="7FC5C6F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Parfois après 60 ans (20% des cas) - souvent sans symptômes marqués</w:t>
            </w:r>
          </w:p>
          <w:p w14:paraId="616E131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2 à 3 fois plus fréquente chez la FEMME</w:t>
            </w:r>
          </w:p>
        </w:tc>
      </w:tr>
    </w:tbl>
    <w:p w14:paraId="54DFAD90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6F6550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125C22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🧬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ÉTIOLOGIE</w:t>
            </w:r>
          </w:p>
        </w:tc>
      </w:tr>
      <w:tr w:rsidR="003F25BA" w:rsidRPr="00585B28" w14:paraId="66BBD0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D306E2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PRÉDISPOSITION GÉNÉTIQUE :</w:t>
            </w:r>
          </w:p>
        </w:tc>
      </w:tr>
      <w:tr w:rsidR="003F25BA" w:rsidRPr="00585B28" w14:paraId="38AD26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F85BA" w14:textId="647931A3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Gènes de susceptibilité : antigènes HLA-DQ2 et HLA-DQ8</w:t>
            </w:r>
            <w:r w:rsidR="00661BC0">
              <w:rPr>
                <w:rFonts w:ascii="Book Antiqua" w:eastAsia="Arial" w:hAnsi="Book Antiqua" w:cs="Arial"/>
                <w:sz w:val="22"/>
                <w:szCs w:val="22"/>
              </w:rPr>
              <w:t xml:space="preserve"> </w:t>
            </w:r>
            <w:r w:rsidR="00B519F3">
              <w:rPr>
                <w:rFonts w:ascii="Book Antiqua" w:eastAsia="Arial" w:hAnsi="Book Antiqua" w:cs="Arial"/>
                <w:sz w:val="22"/>
                <w:szCs w:val="22"/>
              </w:rPr>
              <w:t xml:space="preserve">analyse de sang </w:t>
            </w:r>
          </w:p>
          <w:p w14:paraId="102A0FCF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Composante héréditaire : personnes apparentées au 1er degré → risque 10%</w:t>
            </w:r>
          </w:p>
        </w:tc>
      </w:tr>
      <w:tr w:rsidR="003F25BA" w:rsidRPr="00585B28" w14:paraId="6D2306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AB0671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FACTEURS DE RISQUE :</w:t>
            </w:r>
          </w:p>
        </w:tc>
      </w:tr>
      <w:tr w:rsidR="003F25BA" w:rsidRPr="00585B28" w14:paraId="78935D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B39FFC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Diabète de type I</w:t>
            </w:r>
          </w:p>
          <w:p w14:paraId="4D0D858D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Thyroïdite</w:t>
            </w:r>
          </w:p>
          <w:p w14:paraId="1AC9479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Troubles hépatiques</w:t>
            </w:r>
          </w:p>
          <w:p w14:paraId="36CB5B3F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Vitiligo</w:t>
            </w:r>
          </w:p>
          <w:p w14:paraId="327843FF" w14:textId="5791DB3C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Dermatite herpétiforme</w:t>
            </w:r>
            <w:r w:rsidR="00B519F3">
              <w:rPr>
                <w:rFonts w:ascii="Book Antiqua" w:eastAsia="Arial" w:hAnsi="Book Antiqua" w:cs="Arial"/>
                <w:sz w:val="22"/>
                <w:szCs w:val="22"/>
              </w:rPr>
              <w:t xml:space="preserve"> (Virtili</w:t>
            </w:r>
            <w:r w:rsidR="00203448">
              <w:rPr>
                <w:rFonts w:ascii="Book Antiqua" w:eastAsia="Arial" w:hAnsi="Book Antiqua" w:cs="Arial"/>
                <w:sz w:val="22"/>
                <w:szCs w:val="22"/>
              </w:rPr>
              <w:t>go)</w:t>
            </w: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 xml:space="preserve"> (expression cutanée de la maladie cœliaque)</w:t>
            </w:r>
          </w:p>
          <w:p w14:paraId="4AD56BBF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Déficit en IgA et autres anomalies génétiques</w:t>
            </w:r>
          </w:p>
        </w:tc>
      </w:tr>
      <w:tr w:rsidR="003F25BA" w:rsidRPr="00585B28" w14:paraId="42BB6C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B716E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AUTRES FACTEURS :</w:t>
            </w:r>
          </w:p>
        </w:tc>
      </w:tr>
      <w:tr w:rsidR="003F25BA" w:rsidRPr="00585B28" w14:paraId="55DDD1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FD355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Infection virale dans l'enfance (réovirus)</w:t>
            </w:r>
          </w:p>
          <w:p w14:paraId="4A9B3E9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Gluten = principal facteur environnemental</w:t>
            </w:r>
          </w:p>
          <w:p w14:paraId="40BE0BF7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Cause méconnue</w:t>
            </w:r>
          </w:p>
        </w:tc>
      </w:tr>
    </w:tbl>
    <w:p w14:paraId="39A8F2A1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00425B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70D259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🩺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SYMPTÔMES</w:t>
            </w:r>
          </w:p>
        </w:tc>
      </w:tr>
    </w:tbl>
    <w:p w14:paraId="0CB29112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3712A9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42094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👶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ÂGE PÉDIATRIQUE</w:t>
            </w:r>
          </w:p>
        </w:tc>
      </w:tr>
      <w:tr w:rsidR="003F25BA" w:rsidRPr="00585B28" w14:paraId="366086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EDD86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Syndrome de malabsorption</w:t>
            </w:r>
          </w:p>
          <w:p w14:paraId="7C92F93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Stéatorrhée (selles grasses)</w:t>
            </w:r>
          </w:p>
          <w:p w14:paraId="2D6EEBF3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Distension abdominale</w:t>
            </w:r>
          </w:p>
          <w:p w14:paraId="135E9BA0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Perte de poids</w:t>
            </w:r>
          </w:p>
          <w:p w14:paraId="2F85148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Retard de croissance</w:t>
            </w:r>
          </w:p>
          <w:p w14:paraId="1F70685D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Irritabilité et apathie</w:t>
            </w:r>
          </w:p>
        </w:tc>
      </w:tr>
      <w:tr w:rsidR="003F25BA" w:rsidRPr="00585B28" w14:paraId="0034DD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246B4B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Expressions extra-digestives variées :</w:t>
            </w:r>
          </w:p>
        </w:tc>
      </w:tr>
      <w:tr w:rsidR="003F25BA" w:rsidRPr="00585B28" w14:paraId="4954F4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446BC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Dermatite herpétiforme</w:t>
            </w:r>
          </w:p>
          <w:p w14:paraId="2FEA448F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Ataxie au gluten : perte équilibre et coordination des mouvements (stimulation SI → Ac nuisibles aux neurones du cervelet)</w:t>
            </w:r>
          </w:p>
        </w:tc>
      </w:tr>
    </w:tbl>
    <w:p w14:paraId="5B4375FA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36FDD7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11E152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🧑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ÂGE ADULTE</w:t>
            </w:r>
          </w:p>
        </w:tc>
      </w:tr>
      <w:tr w:rsidR="003F25BA" w:rsidRPr="00585B28" w14:paraId="0BEAD6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2F62B7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Plus fréquente et plus difficile à diagnostiquer :</w:t>
            </w:r>
          </w:p>
        </w:tc>
      </w:tr>
      <w:tr w:rsidR="003F25BA" w:rsidRPr="00585B28" w14:paraId="21C2FB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B4CC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Symptômes aspécifiques</w:t>
            </w:r>
          </w:p>
          <w:p w14:paraId="572DC9E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Ballonnements</w:t>
            </w:r>
          </w:p>
          <w:p w14:paraId="12A7B209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Troubles du transit</w:t>
            </w:r>
          </w:p>
          <w:p w14:paraId="4665B433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Carence en fer et autres</w:t>
            </w:r>
          </w:p>
          <w:p w14:paraId="46BED375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Chevauchement avec syndrome de l'intestin irritable</w:t>
            </w:r>
          </w:p>
        </w:tc>
      </w:tr>
    </w:tbl>
    <w:p w14:paraId="50395E70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52F785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8BF16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🔬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EXAMENS &amp; DIAGNOSTIC</w:t>
            </w:r>
          </w:p>
        </w:tc>
      </w:tr>
      <w:tr w:rsidR="003F25BA" w:rsidRPr="00585B28" w14:paraId="021824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68BA5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SÉROLOGIE :</w:t>
            </w:r>
          </w:p>
        </w:tc>
      </w:tr>
      <w:tr w:rsidR="003F25BA" w:rsidRPr="00585B28" w14:paraId="1E68D0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4556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Anticorps spécifiques : IgA anti-transglutaminase (anti-TG)</w:t>
            </w:r>
          </w:p>
          <w:p w14:paraId="1F8DCFC7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Dosage des IgA totales</w:t>
            </w:r>
          </w:p>
        </w:tc>
      </w:tr>
      <w:tr w:rsidR="003F25BA" w:rsidRPr="00585B28" w14:paraId="6F0341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22C599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BIOPSIES :</w:t>
            </w:r>
          </w:p>
        </w:tc>
      </w:tr>
      <w:tr w:rsidR="003F25BA" w:rsidRPr="00585B28" w14:paraId="710A0B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EEA0BC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Muqueuse du duodénum (endoscopie digestive haute)</w:t>
            </w:r>
          </w:p>
          <w:p w14:paraId="5F994F58" w14:textId="49FE1963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CONFIRMATION du diagnostic</w:t>
            </w:r>
            <w:r w:rsidR="00444A9A">
              <w:rPr>
                <w:rFonts w:ascii="Book Antiqua" w:eastAsia="Arial" w:hAnsi="Book Antiqua" w:cs="Arial"/>
                <w:sz w:val="22"/>
                <w:szCs w:val="22"/>
              </w:rPr>
              <w:t xml:space="preserve"> : </w:t>
            </w:r>
          </w:p>
          <w:p w14:paraId="1785D756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Visualisation atrophie villositaire (totale ou partielle)</w:t>
            </w:r>
          </w:p>
          <w:p w14:paraId="04A2B51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Prolifération de lymphocytes</w:t>
            </w:r>
          </w:p>
        </w:tc>
      </w:tr>
      <w:tr w:rsidR="003F25BA" w:rsidRPr="00585B28" w14:paraId="37448D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6F8B6D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585B28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 xml:space="preserve"> REMARQUE IMPORTANTE : Aucun régime sans gluten ne doit être entrepris AVANT la confirmation du diagnostic (risque de fausser les résultats)</w:t>
            </w:r>
          </w:p>
        </w:tc>
      </w:tr>
    </w:tbl>
    <w:p w14:paraId="5BEE4985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6759AA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875F23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🔎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BILAN INITIAL (après confirmation)</w:t>
            </w:r>
          </w:p>
        </w:tc>
      </w:tr>
      <w:tr w:rsidR="003F25BA" w:rsidRPr="00585B28" w14:paraId="47F916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E1EF09" w14:textId="679A067F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Recherche carences : électrolytes, vitamines (calcium, fer, folates B9, B12</w:t>
            </w:r>
            <w:r w:rsidR="001D1A04">
              <w:rPr>
                <w:rFonts w:ascii="Book Antiqua" w:eastAsia="Arial" w:hAnsi="Book Antiqua" w:cs="Arial"/>
                <w:sz w:val="22"/>
                <w:szCs w:val="22"/>
              </w:rPr>
              <w:t> : vitamine du systè</w:t>
            </w:r>
            <w:r w:rsidR="00124369">
              <w:rPr>
                <w:rFonts w:ascii="Book Antiqua" w:eastAsia="Arial" w:hAnsi="Book Antiqua" w:cs="Arial"/>
                <w:sz w:val="22"/>
                <w:szCs w:val="22"/>
              </w:rPr>
              <w:t>me nerveux</w:t>
            </w: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779C2E0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Bilan hépatique</w:t>
            </w:r>
          </w:p>
          <w:p w14:paraId="3D9F4CE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Tests de coagulation (en cas de carence vit K)</w:t>
            </w:r>
          </w:p>
          <w:p w14:paraId="23567CA9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Ostéodensitométrie (facultative) : repérer ostéopénie (présente chez 50% au diagnostic, régresse sous régime sans gluten)</w:t>
            </w:r>
          </w:p>
        </w:tc>
      </w:tr>
    </w:tbl>
    <w:p w14:paraId="39D16120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64674AA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B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87CA43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🍽</w:t>
            </w: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ALIMENTS IMPLIQUÉS</w:t>
            </w:r>
          </w:p>
        </w:tc>
      </w:tr>
      <w:tr w:rsidR="003F25BA" w:rsidRPr="00585B28" w14:paraId="048D6E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A89C9F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Aliments contenant du GLUTEN :</w:t>
            </w:r>
          </w:p>
        </w:tc>
      </w:tr>
      <w:tr w:rsidR="003F25BA" w:rsidRPr="00585B28" w14:paraId="63F8AA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D256A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Blé, seigle, orge</w:t>
            </w:r>
          </w:p>
          <w:p w14:paraId="60539664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Épeautre, kamut</w:t>
            </w:r>
          </w:p>
          <w:p w14:paraId="01BD63F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Triticale</w:t>
            </w:r>
          </w:p>
          <w:p w14:paraId="59B14C0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Avoine (contamination croisée)</w:t>
            </w:r>
          </w:p>
          <w:p w14:paraId="01BDA89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Produits transformés contenant ces céréales</w:t>
            </w:r>
          </w:p>
        </w:tc>
      </w:tr>
      <w:tr w:rsidR="003F25BA" w:rsidRPr="00585B28" w14:paraId="0E66AD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A74DF6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585B28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 xml:space="preserve"> Attention aux contaminations croisées et aux traces dans les produits transformés</w:t>
            </w:r>
          </w:p>
        </w:tc>
      </w:tr>
    </w:tbl>
    <w:p w14:paraId="141B3796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18CBCD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0236C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💊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TRAITEMENT ALLOPATHIQUE</w:t>
            </w:r>
          </w:p>
        </w:tc>
      </w:tr>
      <w:tr w:rsidR="003F25BA" w:rsidRPr="00585B28" w14:paraId="267899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133AF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SEUL TRAITEMENT : ÉVICTION STRICTE DU GLUTEN</w:t>
            </w:r>
          </w:p>
        </w:tc>
      </w:tr>
      <w:tr w:rsidR="003F25BA" w:rsidRPr="00585B28" w14:paraId="5C147A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347DC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Régime sans gluten À VIE</w:t>
            </w:r>
          </w:p>
          <w:p w14:paraId="4208AB86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Amélioration des symptômes en quelques semaines</w:t>
            </w:r>
          </w:p>
          <w:p w14:paraId="61A8FD0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Guérison de la muqueuse en 6 mois à 2 ans</w:t>
            </w:r>
          </w:p>
          <w:p w14:paraId="2B00157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Suivi régulier par gastro-entérologue</w:t>
            </w:r>
          </w:p>
          <w:p w14:paraId="3D435B5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Surveillance diététique</w:t>
            </w:r>
          </w:p>
        </w:tc>
      </w:tr>
      <w:tr w:rsidR="003F25BA" w:rsidRPr="00585B28" w14:paraId="4C9548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FC61B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585B28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 xml:space="preserve"> Aucun médicament ne traite la maladie cœliaque</w:t>
            </w:r>
          </w:p>
          <w:p w14:paraId="2A4FA5B8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Le gluten doit être éliminé complètement et définitivement</w:t>
            </w:r>
          </w:p>
        </w:tc>
      </w:tr>
    </w:tbl>
    <w:p w14:paraId="1601B93C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42442E0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D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2C018C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🌿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ACCOMPAGNEMENT NATUROPATHIQUE</w:t>
            </w:r>
          </w:p>
        </w:tc>
      </w:tr>
      <w:tr w:rsidR="003F25BA" w:rsidRPr="00585B28" w14:paraId="2E2374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69809" w14:textId="77777777" w:rsidR="003F25BA" w:rsidRPr="00585B28" w:rsidRDefault="007A138D">
            <w:pPr>
              <w:spacing w:after="100"/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OBJECTIFS :</w:t>
            </w:r>
          </w:p>
        </w:tc>
      </w:tr>
      <w:tr w:rsidR="003F25BA" w:rsidRPr="00585B28" w14:paraId="6F5011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3B22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Soutenir la guérison de la muqueuse intestinale</w:t>
            </w:r>
          </w:p>
          <w:p w14:paraId="3D16ADC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Combler les carences nutritionnelles</w:t>
            </w:r>
          </w:p>
          <w:p w14:paraId="2A149D4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Renforcer le système immunitaire</w:t>
            </w:r>
          </w:p>
          <w:p w14:paraId="73E38B2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Optimiser la digestion</w:t>
            </w:r>
          </w:p>
          <w:p w14:paraId="7B5E64D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Prévenir les complications</w:t>
            </w:r>
          </w:p>
        </w:tc>
      </w:tr>
    </w:tbl>
    <w:p w14:paraId="6DCE9DBA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6B8DE4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5D6CB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1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RÉGIME SANS GLUTEN STRICT</w:t>
            </w:r>
          </w:p>
        </w:tc>
      </w:tr>
      <w:tr w:rsidR="003F25BA" w:rsidRPr="00585B28" w14:paraId="5F24024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C187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Élimination totale du gluten</w:t>
            </w:r>
          </w:p>
          <w:p w14:paraId="4292B0B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Lecture attentive des étiquettes</w:t>
            </w:r>
          </w:p>
          <w:p w14:paraId="109169F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Attention aux contaminations croisées</w:t>
            </w:r>
          </w:p>
          <w:p w14:paraId="359BFA2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Privilégier les aliments naturellement sans gluten</w:t>
            </w:r>
          </w:p>
          <w:p w14:paraId="3BD7C16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Remplacer par : riz, quinoa, sarrasin, millet, maïs, pommes de terre</w:t>
            </w:r>
          </w:p>
        </w:tc>
      </w:tr>
    </w:tbl>
    <w:p w14:paraId="03777665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0CCC11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05C10F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2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RENFORCER LA BARRIÈRE INTESTINALE</w:t>
            </w:r>
          </w:p>
        </w:tc>
      </w:tr>
      <w:tr w:rsidR="003F25BA" w:rsidRPr="00585B28" w14:paraId="012D53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B6E6D5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L-GLUTAMINE : cicatrisation de la muqueuse</w:t>
            </w:r>
          </w:p>
          <w:p w14:paraId="02C23B5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ZINC : réparation tissulaire</w:t>
            </w:r>
          </w:p>
          <w:p w14:paraId="706A6645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L-THRÉONINE : production de mucus</w:t>
            </w:r>
          </w:p>
          <w:p w14:paraId="3CE248B9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QUERCÉTINE : anti-inflammatoire, renforce jonctions serrées</w:t>
            </w:r>
          </w:p>
          <w:p w14:paraId="500CC1F0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VITAMINE A : intégrité des muqueuses</w:t>
            </w:r>
          </w:p>
          <w:p w14:paraId="14790123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CURCUMA : anti-inflammatoire, cicatrisant</w:t>
            </w:r>
          </w:p>
        </w:tc>
      </w:tr>
    </w:tbl>
    <w:p w14:paraId="42DF157D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056A05F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483D73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3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COMBLER LES CARENCES</w:t>
            </w:r>
          </w:p>
        </w:tc>
      </w:tr>
      <w:tr w:rsidR="003F25BA" w:rsidRPr="00585B28" w14:paraId="748D18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3E6D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FER : Si anémie (viande rouge, légumineuses + vit C)</w:t>
            </w:r>
          </w:p>
          <w:p w14:paraId="2C6BBE96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CALCIUM + VIT D : Prévention ostéoporose</w:t>
            </w:r>
          </w:p>
          <w:p w14:paraId="3C7B55B0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FOLATES (B9) : Légumes verts, légumineuses</w:t>
            </w:r>
          </w:p>
          <w:p w14:paraId="6293089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VIT B12 : Souvent déficitaire, supplémentation</w:t>
            </w:r>
          </w:p>
          <w:p w14:paraId="3DBC9564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MAGNÉSIUM : Fatigue, crampes</w:t>
            </w:r>
          </w:p>
          <w:p w14:paraId="06BBFAB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ZINC : Système immunitaire, cicatrisation</w:t>
            </w:r>
          </w:p>
        </w:tc>
      </w:tr>
    </w:tbl>
    <w:p w14:paraId="63E6CD7F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7AA2F0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660F9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4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PROBIOTIQUES SPÉCIFIQUES</w:t>
            </w:r>
          </w:p>
        </w:tc>
      </w:tr>
      <w:tr w:rsidR="003F25BA" w:rsidRPr="00585B28" w14:paraId="42EFAB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E3A46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Rééquilibrer le microbiote intestinal</w:t>
            </w:r>
          </w:p>
          <w:p w14:paraId="532762C7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Souches recommandées : Lactobacillus, Bifidobacterium</w:t>
            </w:r>
          </w:p>
          <w:p w14:paraId="29055831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Réduire l'inflammation intestinale</w:t>
            </w:r>
          </w:p>
          <w:p w14:paraId="4D1518DB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Améliorer la digestion</w:t>
            </w:r>
          </w:p>
          <w:p w14:paraId="3D676738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Renforcer barrière intestinale</w:t>
            </w:r>
          </w:p>
        </w:tc>
      </w:tr>
    </w:tbl>
    <w:p w14:paraId="7F84FE61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5C8566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2C4C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FD6EF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5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ENZYMES DIGESTIVES</w:t>
            </w:r>
          </w:p>
        </w:tc>
      </w:tr>
      <w:tr w:rsidR="003F25BA" w:rsidRPr="00585B28" w14:paraId="01B06C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8168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Support temporaire pendant la guérison</w:t>
            </w:r>
          </w:p>
          <w:p w14:paraId="0B154EF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Améliorer digestion protéines, lipides, glucides</w:t>
            </w:r>
          </w:p>
          <w:p w14:paraId="4B83920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Réduire ballonnements et inconforts</w:t>
            </w:r>
          </w:p>
          <w:p w14:paraId="1186F6A2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Enzymes pancréatiques si nécessaire</w:t>
            </w:r>
          </w:p>
        </w:tc>
      </w:tr>
    </w:tbl>
    <w:p w14:paraId="68445D23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5EA593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6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60334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6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585B28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PLANTES CICATRISANTES</w:t>
            </w:r>
          </w:p>
        </w:tc>
      </w:tr>
      <w:tr w:rsidR="003F25BA" w:rsidRPr="00585B28" w14:paraId="72D9B9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0CAC93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RÉGLISSE (DGL) : Cicatrisation muqueuse gastro-intestinale</w:t>
            </w:r>
          </w:p>
          <w:p w14:paraId="2E453AD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ALOE VERA : Apaisant, cicatrisant, anti-inflammatoire</w:t>
            </w:r>
          </w:p>
          <w:p w14:paraId="30EF808F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CURCUMA : Puissant anti-inflammatoire</w:t>
            </w:r>
          </w:p>
          <w:p w14:paraId="6F23ACBD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PLANTAIN : Cicatrisant intestinal</w:t>
            </w:r>
          </w:p>
          <w:p w14:paraId="46A6B0B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GUIMAUVE : Protectrice muqueuse</w:t>
            </w:r>
          </w:p>
          <w:p w14:paraId="03D73A06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CAMOMILLE : Apaisante, anti-inflammatoire</w:t>
            </w:r>
          </w:p>
        </w:tc>
      </w:tr>
    </w:tbl>
    <w:p w14:paraId="25A3664C" w14:textId="77777777" w:rsidR="003F25BA" w:rsidRPr="00585B28" w:rsidRDefault="003F25BA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25BA" w:rsidRPr="00585B28" w14:paraId="52F86A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983A12" w14:textId="77777777" w:rsidR="003F25BA" w:rsidRPr="00585B28" w:rsidRDefault="007A138D">
            <w:pPr>
              <w:rPr>
                <w:rFonts w:ascii="Book Antiqua" w:hAnsi="Book Antiqua"/>
              </w:rPr>
            </w:pPr>
            <w:r w:rsidRPr="00585B28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📝</w:t>
            </w:r>
            <w:r w:rsidRPr="00585B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POINTS CLÉS À RETENIR</w:t>
            </w:r>
          </w:p>
        </w:tc>
      </w:tr>
      <w:tr w:rsidR="003F25BA" w:rsidRPr="00585B28" w14:paraId="6D77BC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8BA89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Maladie auto-immune déclenchée par le gluten</w:t>
            </w:r>
          </w:p>
          <w:p w14:paraId="12B8DDCF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Atrophie villositaire → malabsorption</w:t>
            </w:r>
          </w:p>
          <w:p w14:paraId="5921FEFA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Diagnostic : Sérologie + Biopsie</w:t>
            </w:r>
          </w:p>
          <w:p w14:paraId="083FA02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Traitement UNIQUE : Éviction stricte et définitive du gluten</w:t>
            </w:r>
          </w:p>
          <w:p w14:paraId="0BF0B2A5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Ne JAMAIS commencer le régime avant confirmation du diagnostic</w:t>
            </w:r>
          </w:p>
          <w:p w14:paraId="2C0224AE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Guérison muqueuse : 6 mois à 2 ans sous régime strict</w:t>
            </w:r>
          </w:p>
          <w:p w14:paraId="6945FEA6" w14:textId="77777777" w:rsidR="003F25BA" w:rsidRPr="00585B28" w:rsidRDefault="007A138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Accompagnement naturopathique : Cicatrisation + Carences + Microbiote</w:t>
            </w:r>
          </w:p>
          <w:p w14:paraId="3D472589" w14:textId="2A08BFF9" w:rsidR="00063C44" w:rsidRPr="009465B9" w:rsidRDefault="007A138D" w:rsidP="009465B9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585B28">
              <w:rPr>
                <w:rFonts w:ascii="Book Antiqua" w:eastAsia="Arial" w:hAnsi="Book Antiqua" w:cs="Arial"/>
                <w:sz w:val="22"/>
                <w:szCs w:val="22"/>
              </w:rPr>
              <w:t>Suivi médical régulier indispensable</w:t>
            </w:r>
          </w:p>
        </w:tc>
      </w:tr>
    </w:tbl>
    <w:p w14:paraId="258A625E" w14:textId="77777777" w:rsidR="00054A27" w:rsidRDefault="00054A27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455" w:rsidRPr="00585B28" w14:paraId="70F24932" w14:textId="77777777" w:rsidTr="0080505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2F76EE" w14:textId="2CB980EF" w:rsidR="00510455" w:rsidRPr="009465B9" w:rsidRDefault="00510455" w:rsidP="0080505A">
            <w:pPr>
              <w:rPr>
                <w:rFonts w:ascii="Book Antiqua" w:hAnsi="Book Antiqua"/>
              </w:rPr>
            </w:pPr>
            <w:r w:rsidRPr="009465B9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📝</w:t>
            </w:r>
            <w:r w:rsidRPr="009465B9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5A72D5" w:rsidRPr="009465B9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Interrogatoire Minutieux</w:t>
            </w:r>
            <w:r w:rsidR="009465B9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</w:tr>
      <w:tr w:rsidR="005A72D5" w:rsidRPr="00585B28" w14:paraId="133CBF03" w14:textId="77777777" w:rsidTr="0080505A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EAC5A3" w14:textId="4B46BD12" w:rsidR="005A72D5" w:rsidRPr="00087666" w:rsidRDefault="00087666" w:rsidP="005A72D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>Type d’aliments consommé</w:t>
            </w:r>
          </w:p>
          <w:p w14:paraId="14354C14" w14:textId="542D947D" w:rsidR="00087666" w:rsidRPr="00087666" w:rsidRDefault="00087666" w:rsidP="005A72D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Temporalité avec les symptômes </w:t>
            </w:r>
          </w:p>
          <w:p w14:paraId="504A7774" w14:textId="4B71A71D" w:rsidR="00087666" w:rsidRPr="009C5B57" w:rsidRDefault="009C5B57" w:rsidP="005A72D5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Nature de la réaction </w:t>
            </w:r>
          </w:p>
          <w:p w14:paraId="45ACDA3A" w14:textId="49F6F0FE" w:rsidR="005A72D5" w:rsidRPr="00891E67" w:rsidRDefault="009C5B57" w:rsidP="00891E67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>Tenue d’un carn</w:t>
            </w:r>
            <w:r w:rsidR="00277781">
              <w:rPr>
                <w:rFonts w:ascii="Book Antiqua" w:eastAsia="Arial" w:hAnsi="Book Antiqua" w:cs="Arial"/>
                <w:sz w:val="22"/>
                <w:szCs w:val="22"/>
              </w:rPr>
              <w:t xml:space="preserve">et alimentaire : aide précieuse. </w:t>
            </w:r>
          </w:p>
        </w:tc>
      </w:tr>
    </w:tbl>
    <w:p w14:paraId="17ED7F0B" w14:textId="77777777" w:rsidR="00510455" w:rsidRPr="00585B28" w:rsidRDefault="00510455">
      <w:pPr>
        <w:rPr>
          <w:rFonts w:ascii="Book Antiqua" w:hAnsi="Book Antiqua"/>
        </w:rPr>
      </w:pPr>
    </w:p>
    <w:sectPr w:rsidR="00510455" w:rsidRPr="00585B28" w:rsidSect="001C0CB2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BD58" w14:textId="77777777" w:rsidR="00825185" w:rsidRDefault="00825185" w:rsidP="00825185">
      <w:r>
        <w:separator/>
      </w:r>
    </w:p>
  </w:endnote>
  <w:endnote w:type="continuationSeparator" w:id="0">
    <w:p w14:paraId="7C8A6BFB" w14:textId="77777777" w:rsidR="00825185" w:rsidRDefault="00825185" w:rsidP="0082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815297867"/>
      <w:docPartObj>
        <w:docPartGallery w:val="Page Numbers (Bottom of Page)"/>
        <w:docPartUnique/>
      </w:docPartObj>
    </w:sdtPr>
    <w:sdtContent>
      <w:p w14:paraId="4C16B0E3" w14:textId="3F68A5C6" w:rsidR="00825185" w:rsidRDefault="00825185" w:rsidP="00831CB7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88E47FE" w14:textId="77777777" w:rsidR="00825185" w:rsidRDefault="00825185" w:rsidP="0082518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614170535"/>
      <w:docPartObj>
        <w:docPartGallery w:val="Page Numbers (Bottom of Page)"/>
        <w:docPartUnique/>
      </w:docPartObj>
    </w:sdtPr>
    <w:sdtContent>
      <w:p w14:paraId="0E09774F" w14:textId="0B3671CD" w:rsidR="00825185" w:rsidRDefault="00825185" w:rsidP="00831CB7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3BF60B73" w14:textId="77777777" w:rsidR="00825185" w:rsidRDefault="00825185" w:rsidP="0082518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2B65" w14:textId="77777777" w:rsidR="00825185" w:rsidRDefault="00825185" w:rsidP="00825185">
      <w:r>
        <w:separator/>
      </w:r>
    </w:p>
  </w:footnote>
  <w:footnote w:type="continuationSeparator" w:id="0">
    <w:p w14:paraId="6B1AF912" w14:textId="77777777" w:rsidR="00825185" w:rsidRDefault="00825185" w:rsidP="00825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27CB"/>
    <w:multiLevelType w:val="hybridMultilevel"/>
    <w:tmpl w:val="FFFFFFFF"/>
    <w:lvl w:ilvl="0" w:tplc="BA7843A6">
      <w:start w:val="1"/>
      <w:numFmt w:val="bullet"/>
      <w:lvlText w:val="●"/>
      <w:lvlJc w:val="left"/>
      <w:pPr>
        <w:ind w:left="720" w:hanging="360"/>
      </w:pPr>
    </w:lvl>
    <w:lvl w:ilvl="1" w:tplc="83C4A006">
      <w:start w:val="1"/>
      <w:numFmt w:val="bullet"/>
      <w:lvlText w:val="○"/>
      <w:lvlJc w:val="left"/>
      <w:pPr>
        <w:ind w:left="1440" w:hanging="360"/>
      </w:pPr>
    </w:lvl>
    <w:lvl w:ilvl="2" w:tplc="B5F4CF52">
      <w:start w:val="1"/>
      <w:numFmt w:val="bullet"/>
      <w:lvlText w:val="■"/>
      <w:lvlJc w:val="left"/>
      <w:pPr>
        <w:ind w:left="2160" w:hanging="360"/>
      </w:pPr>
    </w:lvl>
    <w:lvl w:ilvl="3" w:tplc="242ACE8E">
      <w:start w:val="1"/>
      <w:numFmt w:val="bullet"/>
      <w:lvlText w:val="●"/>
      <w:lvlJc w:val="left"/>
      <w:pPr>
        <w:ind w:left="2880" w:hanging="360"/>
      </w:pPr>
    </w:lvl>
    <w:lvl w:ilvl="4" w:tplc="A0068016">
      <w:start w:val="1"/>
      <w:numFmt w:val="bullet"/>
      <w:lvlText w:val="○"/>
      <w:lvlJc w:val="left"/>
      <w:pPr>
        <w:ind w:left="3600" w:hanging="360"/>
      </w:pPr>
    </w:lvl>
    <w:lvl w:ilvl="5" w:tplc="4FC0E4BE">
      <w:start w:val="1"/>
      <w:numFmt w:val="bullet"/>
      <w:lvlText w:val="■"/>
      <w:lvlJc w:val="left"/>
      <w:pPr>
        <w:ind w:left="4320" w:hanging="360"/>
      </w:pPr>
    </w:lvl>
    <w:lvl w:ilvl="6" w:tplc="ED243F34">
      <w:start w:val="1"/>
      <w:numFmt w:val="bullet"/>
      <w:lvlText w:val="●"/>
      <w:lvlJc w:val="left"/>
      <w:pPr>
        <w:ind w:left="5040" w:hanging="360"/>
      </w:pPr>
    </w:lvl>
    <w:lvl w:ilvl="7" w:tplc="2582398C">
      <w:start w:val="1"/>
      <w:numFmt w:val="bullet"/>
      <w:lvlText w:val="●"/>
      <w:lvlJc w:val="left"/>
      <w:pPr>
        <w:ind w:left="5760" w:hanging="360"/>
      </w:pPr>
    </w:lvl>
    <w:lvl w:ilvl="8" w:tplc="175A1E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06D70"/>
    <w:multiLevelType w:val="hybridMultilevel"/>
    <w:tmpl w:val="FFFFFFFF"/>
    <w:lvl w:ilvl="0" w:tplc="3B1AD0D2">
      <w:start w:val="1"/>
      <w:numFmt w:val="bullet"/>
      <w:lvlText w:val="•"/>
      <w:lvlJc w:val="left"/>
      <w:pPr>
        <w:ind w:left="720" w:hanging="360"/>
      </w:pPr>
    </w:lvl>
    <w:lvl w:ilvl="1" w:tplc="AB72BD7E">
      <w:numFmt w:val="decimal"/>
      <w:lvlText w:val=""/>
      <w:lvlJc w:val="left"/>
    </w:lvl>
    <w:lvl w:ilvl="2" w:tplc="3050BAEC">
      <w:numFmt w:val="decimal"/>
      <w:lvlText w:val=""/>
      <w:lvlJc w:val="left"/>
    </w:lvl>
    <w:lvl w:ilvl="3" w:tplc="7AB26AA0">
      <w:numFmt w:val="decimal"/>
      <w:lvlText w:val=""/>
      <w:lvlJc w:val="left"/>
    </w:lvl>
    <w:lvl w:ilvl="4" w:tplc="001A3658">
      <w:numFmt w:val="decimal"/>
      <w:lvlText w:val=""/>
      <w:lvlJc w:val="left"/>
    </w:lvl>
    <w:lvl w:ilvl="5" w:tplc="23CE1780">
      <w:numFmt w:val="decimal"/>
      <w:lvlText w:val=""/>
      <w:lvlJc w:val="left"/>
    </w:lvl>
    <w:lvl w:ilvl="6" w:tplc="00AE7534">
      <w:numFmt w:val="decimal"/>
      <w:lvlText w:val=""/>
      <w:lvlJc w:val="left"/>
    </w:lvl>
    <w:lvl w:ilvl="7" w:tplc="CB98213C">
      <w:numFmt w:val="decimal"/>
      <w:lvlText w:val=""/>
      <w:lvlJc w:val="left"/>
    </w:lvl>
    <w:lvl w:ilvl="8" w:tplc="514669A4">
      <w:numFmt w:val="decimal"/>
      <w:lvlText w:val=""/>
      <w:lvlJc w:val="left"/>
    </w:lvl>
  </w:abstractNum>
  <w:num w:numId="1" w16cid:durableId="149491591">
    <w:abstractNumId w:val="0"/>
    <w:lvlOverride w:ilvl="0">
      <w:startOverride w:val="1"/>
    </w:lvlOverride>
  </w:num>
  <w:num w:numId="2" w16cid:durableId="582107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BA"/>
    <w:rsid w:val="00054A27"/>
    <w:rsid w:val="00063C44"/>
    <w:rsid w:val="00087666"/>
    <w:rsid w:val="00124369"/>
    <w:rsid w:val="00134DEA"/>
    <w:rsid w:val="001C0CB2"/>
    <w:rsid w:val="001D1A04"/>
    <w:rsid w:val="00203448"/>
    <w:rsid w:val="00277781"/>
    <w:rsid w:val="003F25BA"/>
    <w:rsid w:val="00444A9A"/>
    <w:rsid w:val="00510455"/>
    <w:rsid w:val="00585B28"/>
    <w:rsid w:val="005A72D5"/>
    <w:rsid w:val="00661BC0"/>
    <w:rsid w:val="007A138D"/>
    <w:rsid w:val="00825185"/>
    <w:rsid w:val="00850E3B"/>
    <w:rsid w:val="00891E67"/>
    <w:rsid w:val="009465B9"/>
    <w:rsid w:val="009C5B57"/>
    <w:rsid w:val="00A170B4"/>
    <w:rsid w:val="00B519F3"/>
    <w:rsid w:val="00C13153"/>
    <w:rsid w:val="00C50A66"/>
    <w:rsid w:val="00CD364C"/>
    <w:rsid w:val="00DB5DA0"/>
    <w:rsid w:val="00F5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8BA8EF"/>
  <w15:docId w15:val="{40864012-E413-264A-8C18-FEEF09BD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2518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25185"/>
  </w:style>
  <w:style w:type="paragraph" w:styleId="Pieddepage">
    <w:name w:val="footer"/>
    <w:basedOn w:val="Normal"/>
    <w:link w:val="PieddepageCar"/>
    <w:uiPriority w:val="99"/>
    <w:unhideWhenUsed/>
    <w:rsid w:val="0082518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25185"/>
  </w:style>
  <w:style w:type="character" w:styleId="Numrodepage">
    <w:name w:val="page number"/>
    <w:basedOn w:val="Policepardfaut"/>
    <w:uiPriority w:val="99"/>
    <w:semiHidden/>
    <w:unhideWhenUsed/>
    <w:rsid w:val="00825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884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2026-02-23T12:02:00Z</dcterms:created>
  <dcterms:modified xsi:type="dcterms:W3CDTF">2026-02-23T12:02:00Z</dcterms:modified>
</cp:coreProperties>
</file>