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8F4" w:rsidRPr="00EC52F6" w:rsidRDefault="00227230" w:rsidP="00EC52F6">
      <w:pPr>
        <w:spacing w:before="200" w:after="8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FFFFFF"/>
          <w:sz w:val="40"/>
          <w:szCs w:val="40"/>
        </w:rPr>
        <w:t>CHE DE RÉVISION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248F4" w:rsidRPr="00EC52F6" w:rsidRDefault="00227230">
            <w:pPr>
              <w:spacing w:before="100" w:after="40"/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  <w:sz w:val="34"/>
                <w:szCs w:val="34"/>
              </w:rPr>
              <w:t>CANCER : Introduction et Notions Fondamentales</w:t>
            </w:r>
          </w:p>
          <w:p w:rsidR="004248F4" w:rsidRPr="00EC52F6" w:rsidRDefault="00227230">
            <w:pPr>
              <w:spacing w:after="100"/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i/>
                <w:iCs/>
                <w:color w:val="CCCCCC"/>
              </w:rPr>
              <w:t>Roxana Cionco — École de Santé Naturelle — 27/02/2026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t>1. DÉFINITIONS &amp; ÉTYMOLOGIE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Terme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Définition / Origine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Cancer (K)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Tumeur maligne à prolifération cellulaire anarchique pouvant envahir tissus voisins et former des métastases. Du latin cancer = crabe (Hippocrate) / grec karkinos.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Métastase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Tumeur maligne secondaire par migration de cellules cancéreuses via sang/lymphe. Du grec metastasis = déplacement.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Oncologie / Cancérologie / Carcinologie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 xml:space="preserve">Synonymes. Spécialité médicale consacrée à l'étude des cancers. Du grec oncos = gonflement (Galien, </w:t>
            </w:r>
            <w:r w:rsidRPr="00EC52F6">
              <w:rPr>
                <w:rFonts w:ascii="Book Antiqua" w:hAnsi="Book Antiqua"/>
              </w:rPr>
              <w:t>XIe s.). Suffixe « -ome » = cancer (sarcome, mélanome, hépatome...).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t>2. REPÈRES HISTORIQUES CLÉS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Époque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Événement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~2600 av. J.-C.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Papyrus Edwin Smith (Imhotep) — 1er texte mentionnant le cancer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440 av. J.-C.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Hérodote décrit le cancer du sein d'Atossa, reine de Perse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XVIIIe s.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Bichat : unification du cancer comme maladie de différents organes. Naissance du concept de métastases à distance.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XIXe s.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Laennec (classification), Müller (origine cellulaire), Carswell (dissémination sanguine)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1889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Paget — théorie de la graine et du sol (organes cibles des métastases)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1895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Röntgen — rayons X → imagerie médicale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1903/1911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Pierre &amp; Marie Curie + Becquerel — radium → curiethérapie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1943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Dr Stewart Alexander — gaz moutarde → naissance de la chimiothérapie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1948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Sidney Farber (Harvard) — inhibiteurs de l'acide folique</w:t>
            </w:r>
          </w:p>
        </w:tc>
      </w:tr>
    </w:tbl>
    <w:p w:rsidR="004248F4" w:rsidRPr="00EC52F6" w:rsidRDefault="00227230">
      <w:pPr>
        <w:rPr>
          <w:rFonts w:ascii="Book Antiqua" w:hAnsi="Book Antiqua"/>
        </w:rPr>
      </w:pPr>
      <w:r w:rsidRPr="00EC52F6">
        <w:rPr>
          <w:rFonts w:ascii="Book Antiqua" w:hAnsi="Book Antiqua"/>
        </w:rPr>
        <w:br w:type="page"/>
      </w:r>
    </w:p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lastRenderedPageBreak/>
        <w:t>3. ÉPIDÉMIOLOGIE</w:t>
      </w: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3.1 Données mondiales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248F4" w:rsidRPr="00EC52F6" w:rsidRDefault="00227230">
            <w:pPr>
              <w:spacing w:before="40" w:after="2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1E3A5F"/>
              </w:rPr>
              <w:t>Nouveaux cas 2022 : ~20 millions  |  Décès 2022 : 9,7 millions</w:t>
            </w:r>
          </w:p>
          <w:p w:rsidR="004248F4" w:rsidRPr="00EC52F6" w:rsidRDefault="00227230">
            <w:pPr>
              <w:spacing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Projection 2050 : ~37,3 millions de cas  |  Incidence +77% d'ici 2050</w:t>
            </w:r>
          </w:p>
          <w:p w:rsidR="004248F4" w:rsidRPr="00EC52F6" w:rsidRDefault="00227230">
            <w:pPr>
              <w:spacing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Prévalence à 5 ans (vivants avec cancer) : 43,8 millions</w:t>
            </w:r>
          </w:p>
          <w:p w:rsidR="004248F4" w:rsidRPr="00EC52F6" w:rsidRDefault="00227230">
            <w:pPr>
              <w:spacing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E07B54"/>
              </w:rPr>
              <w:t>Risque sur la vie : 1 homme / 5 et 1 femme / 6 développeront un ca</w:t>
            </w:r>
            <w:r w:rsidRPr="00EC52F6">
              <w:rPr>
                <w:rFonts w:ascii="Book Antiqua" w:hAnsi="Book Antiqua"/>
                <w:b/>
                <w:bCs/>
                <w:color w:val="E07B54"/>
              </w:rPr>
              <w:t>ncer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Continent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% 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% Décès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% Population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Europe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23,4 %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20,3 %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9 %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Amériques (N/S)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21 %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14,4 %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13,3 %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Asie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48 %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57,3 %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60 %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Afrique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5,8 %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7,3 %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17 %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3.2 Données France 2024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1E3A5F"/>
              </w:rPr>
              <w:t>Incidence 2023</w:t>
            </w:r>
          </w:p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433 136 nouveaux cas (57% hommes, 43% femmes)</w:t>
            </w:r>
          </w:p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1ers cancers hommes : Prostate (59 885) &gt; Poumon &gt; Côlon-rectum</w:t>
            </w:r>
          </w:p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1ers cancers femmes : Sein (61 214) &gt; Côlon-rectum &gt; Poumon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1E3A5F"/>
              </w:rPr>
              <w:t>Mortalité 2021</w:t>
            </w:r>
          </w:p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162 400 décès  (56% hommes, 44% femmes)</w:t>
            </w:r>
          </w:p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1ère cause de décès chez l'homme (1 décès / 3)</w:t>
            </w:r>
          </w:p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2ème cause chez la femme (1 dé</w:t>
            </w:r>
            <w:r w:rsidRPr="00EC52F6">
              <w:rPr>
                <w:rFonts w:ascii="Book Antiqua" w:hAnsi="Book Antiqua"/>
              </w:rPr>
              <w:t>cès / 4)</w:t>
            </w:r>
          </w:p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Âge médian au décès : 73 ans (H) / 75 ans (F)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D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248F4" w:rsidRPr="00EC52F6" w:rsidRDefault="00227230">
            <w:p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E07B54"/>
              </w:rPr>
              <w:t>Points clés :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Nombre de cancers doublé depuis 1990, mais TSM (taux standardisé mortalité) en baisse : -2,1% H / -0,6% F entre 2011-2021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~50% des cancers (&gt;30 ans) attribuables à des facteurs de risque MODIFIABLES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Meilleur pronostic : prostate 93%, mélanome cutané 93%, sein 88%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Mauvais pronostic : pancréas 11%, œsophage 17%, foie 18%, poumon 20%, SNC 26%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Cancers pédiatriques (0-14 ans) : 18</w:t>
            </w:r>
            <w:r w:rsidRPr="00EC52F6">
              <w:rPr>
                <w:rFonts w:ascii="Book Antiqua" w:hAnsi="Book Antiqua"/>
              </w:rPr>
              <w:t>17 cas/an — survie à 5 ans : 83%</w:t>
            </w:r>
          </w:p>
        </w:tc>
      </w:tr>
    </w:tbl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t>4. DÉPISTAGES ORGANISÉS EN FRANCE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580"/>
        <w:gridCol w:w="258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Cancer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Population cible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Examen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Fréquence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Sein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Femmes 50–74 ans, asymptomatiques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Mammographie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Tous les 2 ans (SS)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Col de l'utérus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Femmes 25–65 ans (vaccinées ou non)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Frottis 25-29 ans / Test HPV 30-65 ans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Tous les 3 ans (après 2 tests normaux à 1 an d'intervalle), puis tous les 5 ans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Colorectal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Hommes &amp; femmes 50–74 ans, asymptomatiques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Test FIT (immunologique, recherche sang occulte)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Tous les 2 ans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lastRenderedPageBreak/>
        <w:t>Points clés sur le dépistage</w:t>
      </w:r>
    </w:p>
    <w:p w:rsidR="004248F4" w:rsidRPr="00EC52F6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C52F6">
        <w:rPr>
          <w:rFonts w:ascii="Book Antiqua" w:hAnsi="Book Antiqua"/>
        </w:rPr>
        <w:t>Test FIT : sensibilité 70%, spécificité 96-98%, test positif → coloscopie indispensable (7-8% de cancers découverts)</w:t>
      </w:r>
    </w:p>
    <w:p w:rsidR="004248F4" w:rsidRPr="00EC52F6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C52F6">
        <w:rPr>
          <w:rFonts w:ascii="Book Antiqua" w:hAnsi="Book Antiqua"/>
        </w:rPr>
        <w:t>Pas de dépistage de masse pour prostate/thyroïde : trop de cancers non évolutifs → surveillance active</w:t>
      </w:r>
    </w:p>
    <w:p w:rsidR="004248F4" w:rsidRPr="00EC52F6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C52F6">
        <w:rPr>
          <w:rFonts w:ascii="Book Antiqua" w:hAnsi="Book Antiqua"/>
        </w:rPr>
        <w:t>Faux po</w:t>
      </w:r>
      <w:r w:rsidRPr="00EC52F6">
        <w:rPr>
          <w:rFonts w:ascii="Book Antiqua" w:hAnsi="Book Antiqua"/>
        </w:rPr>
        <w:t>sitifs plus fréquents chez femmes jeunes (sein)</w:t>
      </w:r>
    </w:p>
    <w:p w:rsidR="004248F4" w:rsidRPr="00EC52F6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C52F6">
        <w:rPr>
          <w:rFonts w:ascii="Book Antiqua" w:hAnsi="Book Antiqua"/>
        </w:rPr>
        <w:t>Le bénéfice du dépistage augmente avec l'âge</w:t>
      </w:r>
    </w:p>
    <w:p w:rsidR="004248F4" w:rsidRPr="00EC52F6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C52F6">
        <w:rPr>
          <w:rFonts w:ascii="Book Antiqua" w:hAnsi="Book Antiqua"/>
        </w:rPr>
        <w:t>Seule vraie prévention : réduction de l'exposition aux facteurs de risque</w:t>
      </w:r>
    </w:p>
    <w:p w:rsidR="004248F4" w:rsidRPr="00EC52F6" w:rsidRDefault="0022723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EC52F6">
        <w:rPr>
          <w:rFonts w:ascii="Book Antiqua" w:hAnsi="Book Antiqua"/>
        </w:rPr>
        <w:t>Surdiagnostic : risque réel (surtout K sein, thyroïde, prostate) → traiter une personne a</w:t>
      </w:r>
      <w:r w:rsidRPr="00EC52F6">
        <w:rPr>
          <w:rFonts w:ascii="Book Antiqua" w:hAnsi="Book Antiqua"/>
        </w:rPr>
        <w:t>symptomatique</w:t>
      </w:r>
    </w:p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t>5. PLANS CANCER EN FRANCE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Plan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Axes principaux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Réalisations clés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Plan 1 (2003-2007)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Tabac, dépistage organisé, qualité des soins, cancéropôles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DO cancer du sein (2004), test colorectal (23 dép.), création INCa (2005)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Plan 2 (2009-2013)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5 axes : Recherche, Observation, Prévention, Soins, Vivre avec/après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Personnalisation des soins, rôle médecin traitant, inégalités sociales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Plan 3 (2014-2019)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Inégalités, qualité de vie, dépistage, soins de support, alimentation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Droit à l'oubli, accès à l'innovation, besoins enfants/AJA</w:t>
            </w:r>
          </w:p>
        </w:tc>
      </w:tr>
    </w:tbl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t>6. FACTEURS DE RISQUE &amp; PRÉVENTION</w:t>
      </w: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6.1 Les 4 principaux facteurs (France 2024)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1515"/>
        <w:gridCol w:w="2994"/>
        <w:gridCol w:w="2996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Facteur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% Cancers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Localisations concernées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Chiffres clés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TABAC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19,8%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Poumon, bouche, pharynx, larynx, œsophage, vessie...(17 loc.)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68 000 cas/an imputables, 31,9% de fumeurs en 2021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ALCOOL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Sein, foie, estomac, côlon-rectum, bouche, pharynx, larynx (8 loc.)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28 000 cas/an, 22% des Français dépassent les repères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ALIMENTATION DÉS.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5,4%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Côlon-rectum, poumon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28% des adultes consomment &lt;5 fruits et légumes/jour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SURPOIDS / OBÉSITÉ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5,4%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Rein, côlon-rectum, endomètre, pancréas, sein... (14 loc.)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19 000 cas/an, 49% Français en surpoids ou obèses</w:t>
            </w:r>
          </w:p>
        </w:tc>
      </w:tr>
    </w:tbl>
    <w:p w:rsidR="004248F4" w:rsidRDefault="004248F4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Pr="00EC52F6" w:rsidRDefault="00EC52F6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lastRenderedPageBreak/>
        <w:t>6.2 Autres facteurs de risque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Comportementaux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Environnementaux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Individuels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rPr>
          <w:gridAfter w:val="1"/>
          <w:wAfter w:w="3120" w:type="dxa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Tabagisme (1er facteur)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Alcool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Alimentation déséquilibrée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Surpoids / obésité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Sédentarité (0,9%)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Exposition UV (3%)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Pollution air/sol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Infections (4%) : H. pylori, EBV, HPV, hépatites B/C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Métaux lourds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Radiations ionisantes (1,8%)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Expositions pro (3%) : amiante, bois, silice, huiles min., diesel...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Particules fines (0,4%)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Vieillissement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Imprégnation hormonale (THS, contraceptifs 1re et 2e génération : 0,6%)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Hérédité / susceptibilité génétique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Maladies inflammatoires et auto-immunes</w:t>
            </w:r>
          </w:p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1E3A5F"/>
              </w:rPr>
              <w:t>Facteurs individuels :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6.3 Cancers professionnels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248F4" w:rsidRPr="00EC52F6" w:rsidRDefault="00227230">
            <w:pPr>
              <w:spacing w:before="40" w:after="2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</w:rPr>
              <w:t>4 à 8,5% des décès par cancer / ~13,5% des salariés exposés à des agents cancérogènes</w:t>
            </w:r>
          </w:p>
          <w:p w:rsidR="004248F4" w:rsidRPr="00EC52F6" w:rsidRDefault="00227230">
            <w:pPr>
              <w:spacing w:after="2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2/3 des expositions : huiles minérales, poussières de bois, amiante, gaz diesel, goudrons, benzène/trichloroéthylène, silice cristalline</w:t>
            </w:r>
          </w:p>
          <w:p w:rsidR="004248F4" w:rsidRPr="00EC52F6" w:rsidRDefault="00227230">
            <w:pPr>
              <w:spacing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Cancers potentiellement professio</w:t>
            </w:r>
            <w:r w:rsidRPr="00EC52F6">
              <w:rPr>
                <w:rFonts w:ascii="Book Antiqua" w:hAnsi="Book Antiqua"/>
              </w:rPr>
              <w:t>nnels : carcinome épidermoïde peau/fosses nasales, mésothéliome, angiosarcome foie, cancer vessie, leucémie, lymphome, glioblastome...</w:t>
            </w:r>
          </w:p>
        </w:tc>
      </w:tr>
    </w:tbl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t>7. ÉPIGÉNÉTIQUE &amp; CANCER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248F4" w:rsidRPr="00EC52F6" w:rsidRDefault="00227230">
            <w:pPr>
              <w:spacing w:before="40" w:after="2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1E3A5F"/>
              </w:rPr>
              <w:t xml:space="preserve">Définition : </w:t>
            </w:r>
            <w:r w:rsidRPr="00EC52F6">
              <w:rPr>
                <w:rFonts w:ascii="Book Antiqua" w:hAnsi="Book Antiqua"/>
              </w:rPr>
              <w:t>Discipline étudiant comment l'environnement modifie l'expression des gènes SANS altérer la séquence ADN. Modifications transmissibles mais RÉVERSIBLES.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1E3A5F"/>
              </w:rPr>
              <w:t>Mécanismes épigénétiques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Méthylation de l'ADN (↑↓)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Modification des histones : acétylation / méthylation (↑↓)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Remodelage de la chromatine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miARN (ARN non codants)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1E3A5F"/>
              </w:rPr>
              <w:t>Facteurs épigénétiques identifiés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Alimentation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Tabac et produits de combustion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Perturbateurs endocriniens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Travail posté (classé 2A : probablement cancérogène)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Radiations ionisantes, ondes, pesticides...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Exemples de gènes suppresseurs de tumeurs (GST) impliqués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360"/>
        <w:gridCol w:w="560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GST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Cancers associés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Rôle biologique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BRCA1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Sein, ovaire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Réparation de l'ADN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TP53 (p53)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Multiples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Cycle cellulaire – apoptose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lastRenderedPageBreak/>
              <w:t>APC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Côlon, estomac, foie, pancréas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Transduction de signaux, organisation du cytosquelette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MLH1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Côlon, estomac, endomètre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Réparation de l'ADN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CDKN2A (p16)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Multiples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Cycle cellulaire</w:t>
            </w:r>
          </w:p>
        </w:tc>
      </w:tr>
    </w:tbl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t>8. TYPES DE PRÉVENTION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980"/>
        <w:gridCol w:w="338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Type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Définition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Exemples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PRIMAIRE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Éviter l'apparition de la maladie en supprimant les causes AVANT qu'elle survienne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Lutte anti-tabac, alimentation, activité physique, vaccination HPV/HBV, limitation des expositions pro.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SECONDAIRE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Détecter la maladie à un stade précoce pour s'opposer à son évolution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Dépistages organisés (sein, col, colorectal)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TERTIAIRE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Réduire les effets chroniques, diminuer la prévalence des récidives et améliorer la qualité de vie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Réhabilitation, réduction du handicap, prévention des rechutes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QUATERNAIRE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Protéger l'individu d'interventions médicales inutiles ou invasives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Éviter dépistage systématique non indiqué (K prostate dans catégories non ciblées)</w:t>
            </w:r>
          </w:p>
        </w:tc>
      </w:tr>
    </w:tbl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Recommandations WCRF (anticancer)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Maintenir un poids stable et sain (IMC 18,5–25)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Pratiquer une activité physique régulière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Consommer fruits, légumes, céréales complètes, légumineuses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Limiter fast-foods, aliments transformés riches en graisses sat. et gluc</w:t>
            </w:r>
            <w:r w:rsidRPr="00EC52F6">
              <w:rPr>
                <w:rFonts w:ascii="Book Antiqua" w:hAnsi="Book Antiqua"/>
              </w:rPr>
              <w:t>ides raffinés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Limiter viandes rouges et charcuteries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Limiter alcool et produits salés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Ne pas abuser des compléments alimentaires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Favoriser l'allaitement après accouchement</w:t>
            </w:r>
          </w:p>
        </w:tc>
      </w:tr>
    </w:tbl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t>9. L'ANNONCE DU CANCER ET SON IMPACT</w:t>
      </w: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9.1 Moments d'annonce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D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Diagnostic initial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Rechute de la maladie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Arrêt des soins spécifiques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Annonce d'une mort imminente</w:t>
            </w:r>
          </w:p>
        </w:tc>
      </w:tr>
    </w:tbl>
    <w:p w:rsidR="004248F4" w:rsidRDefault="004248F4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Default="00EC52F6">
      <w:pPr>
        <w:spacing w:before="60" w:after="60"/>
        <w:rPr>
          <w:rFonts w:ascii="Book Antiqua" w:hAnsi="Book Antiqua"/>
        </w:rPr>
      </w:pPr>
    </w:p>
    <w:p w:rsidR="00EC52F6" w:rsidRPr="00EC52F6" w:rsidRDefault="00EC52F6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lastRenderedPageBreak/>
        <w:t>9.2 Impact du diagnostic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1E3A5F"/>
              </w:rPr>
              <w:t>Phases réactionnelles du malade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CHOC : étonnement, comportement automatisé, détachement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RÉACTION : pensée désorganisée, sentiment de perte, désespoir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RETRAIT : déni, repli sur soi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1E3A5F"/>
              </w:rPr>
              <w:t>Mécanismes de défense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Malades : isolation, déplacement, projection agressive, régression, déni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Soignants : identification projective, rationalisation, fausse réassurance, banalisation, mensonge de préservation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9.3 Traumatisme de l'annonce — lien PTSD (DSM-5)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D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248F4" w:rsidRPr="00EC52F6" w:rsidRDefault="00227230">
            <w:pPr>
              <w:spacing w:before="40" w:after="2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Certains patients développent un état proche du PTSD :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Revécu : pensées intrusives, cauchemars, flashbacks, détresse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Évitement : personnes, lieux, sujets liés au diagnostic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Altérations négatives : perte d'in</w:t>
            </w:r>
            <w:r w:rsidRPr="00EC52F6">
              <w:rPr>
                <w:rFonts w:ascii="Book Antiqua" w:hAnsi="Book Antiqua"/>
              </w:rPr>
              <w:t>térêt, détachement, affect restreint, avenir obstrué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Hyperactivité neuro-végétative : insomnie, irritabilité, hypervigilance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9.4 Protocole SPIKES (psycho-oncologie)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57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4248F4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Étape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Contenu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Setting up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Mise en place de la consultation d'annonce (cadre, confidentialité)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Perception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Évaluer les perceptions du patient sur sa situation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I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Invitation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S'accorder avec le patient sur le degré d'information à donner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K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Knowledge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Transmettre l'information médicale de façon graduée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Emotions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Répondre aux émotions avec empathie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Strategy &amp; Summary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Résumer et co-construire une stratégie thérapeutique pour le futur</w:t>
            </w:r>
          </w:p>
        </w:tc>
      </w:tr>
    </w:tbl>
    <w:p w:rsidR="004248F4" w:rsidRPr="00EC52F6" w:rsidRDefault="004248F4">
      <w:pPr>
        <w:rPr>
          <w:rFonts w:ascii="Book Antiqua" w:hAnsi="Book Antiqua"/>
        </w:rPr>
      </w:pPr>
      <w:bookmarkStart w:id="0" w:name="_GoBack"/>
      <w:bookmarkEnd w:id="0"/>
    </w:p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t>10. QU'EST-CE QUE LE CANCER ? — BIOLOGIE</w:t>
      </w: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10.1 Définitions institutionnelles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248F4" w:rsidRPr="00EC52F6" w:rsidRDefault="00227230">
            <w:pPr>
              <w:spacing w:before="40" w:after="2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</w:rPr>
              <w:t xml:space="preserve">Académie de Médecine : </w:t>
            </w:r>
            <w:r w:rsidRPr="00EC52F6">
              <w:rPr>
                <w:rFonts w:ascii="Book Antiqua" w:hAnsi="Book Antiqua"/>
              </w:rPr>
              <w:t>prolifération anarchique de certaines cellules suite à un dérèglement des mécanismes de contrôle de leur croissance → multiplication et migration à distance (métastases).</w:t>
            </w:r>
          </w:p>
          <w:p w:rsidR="004248F4" w:rsidRPr="00EC52F6" w:rsidRDefault="00227230">
            <w:pPr>
              <w:spacing w:before="2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</w:rPr>
              <w:t xml:space="preserve">OMS : </w:t>
            </w:r>
            <w:r w:rsidRPr="00EC52F6">
              <w:rPr>
                <w:rFonts w:ascii="Book Antiqua" w:hAnsi="Book Antiqua"/>
              </w:rPr>
              <w:t>vaste groupe de maladies où des cellules anormales se développent de façon incontrôlée et envahissent tissus et organes voisins ou distants.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10.2 Hallmarks of Cancer — Évolution du modèle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Publication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Hallmarks intégrés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Caractéristiques supplémentaires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Hanahan &amp; Weinberg 2000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 xml:space="preserve">1. Autosuffisance en signaux de croissance 2. Insensibilité aux anti-prolifératifs 3. Résistance à l'apoptose 4. Potentiel réplicatif </w:t>
            </w:r>
            <w:r w:rsidRPr="00EC52F6">
              <w:rPr>
                <w:rFonts w:ascii="Book Antiqua" w:hAnsi="Book Antiqua"/>
              </w:rPr>
              <w:lastRenderedPageBreak/>
              <w:t>illimité 5. Angiogenèse soutenue 6. Invasion tissulaire &amp; métastases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lastRenderedPageBreak/>
              <w:t>—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Hanahan &amp; Weinberg 2011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Idem + Résistance à la mort cellulaire, Immortalité réplicative, Induction de l'angiogenèse, Activation invasion &amp; métastases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+ Dérégulation métabolisme énergétique + Échappement à la destruction immunitaire + Instabilité génomique &amp; mutation + Inflammatio</w:t>
            </w:r>
            <w:r w:rsidRPr="00EC52F6">
              <w:rPr>
                <w:rFonts w:ascii="Book Antiqua" w:hAnsi="Book Antiqua"/>
              </w:rPr>
              <w:t>n pro-tumorale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Hanahan 2022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Les 10 hallmarks précédents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+ Déblocage plasticité phénotypique + Reprogrammation épigénétique non-mutationnelle + Cellules sénescentes + Polymorphismes des microbiomes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200" w:after="6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2D8C8C"/>
          <w:sz w:val="24"/>
          <w:szCs w:val="24"/>
        </w:rPr>
        <w:t>10.3 Synthèse des 10 caractéristiques du cancer (2011)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À l'intérieur de la cellule tumorale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Caractéristiques facilitantes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48F4" w:rsidRPr="00EC52F6" w:rsidRDefault="00227230">
            <w:pPr>
              <w:jc w:val="center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FFFFFF"/>
              </w:rPr>
              <w:t>Micro-environnement tumoral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rPr>
          <w:gridAfter w:val="1"/>
          <w:wAfter w:w="3120" w:type="dxa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Maintien des signaux de prolifération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Échappement aux suppresseurs de croissance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Résistance à la mort cellulaire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Favorisation de l'immortalité réplicative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Inflammation causée par la tumeur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Instabilité génomique et mutation</w:t>
            </w:r>
          </w:p>
        </w:tc>
      </w:tr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48F4" w:rsidRPr="00EC52F6" w:rsidRDefault="00227230">
            <w:pPr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1E3A5F"/>
              </w:rPr>
              <w:t>Micro-environnement tumoral :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Induction de l'angiogenèse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Activation de l'invasion et des métastases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Dérégulation du métabolisme énergétique cellulaire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Échappement à la destruction par le système immunitaire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pBdr>
          <w:bottom w:val="single" w:sz="8" w:space="4" w:color="E07B54"/>
        </w:pBdr>
        <w:spacing w:before="280" w:after="100"/>
        <w:rPr>
          <w:rFonts w:ascii="Book Antiqua" w:hAnsi="Book Antiqua"/>
        </w:rPr>
      </w:pPr>
      <w:r w:rsidRPr="00EC52F6">
        <w:rPr>
          <w:rFonts w:ascii="Book Antiqua" w:hAnsi="Book Antiqua"/>
          <w:b/>
          <w:bCs/>
          <w:color w:val="1E3A5F"/>
          <w:sz w:val="30"/>
          <w:szCs w:val="30"/>
        </w:rPr>
        <w:t>11. RAPPEL — POSITIONNEMENT NATUROPATHIQUE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48F4" w:rsidRPr="00EC52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D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248F4" w:rsidRPr="00EC52F6" w:rsidRDefault="00227230">
            <w:pPr>
              <w:spacing w:before="40" w:after="2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  <w:b/>
                <w:bCs/>
                <w:color w:val="E07B54"/>
              </w:rPr>
              <w:t xml:space="preserve">L'accompagnement naturopathique du cancer : </w:t>
            </w:r>
            <w:r w:rsidRPr="00EC52F6">
              <w:rPr>
                <w:rFonts w:ascii="Book Antiqua" w:hAnsi="Book Antiqua"/>
                <w:b/>
                <w:bCs/>
              </w:rPr>
              <w:t>COMPLÉMENTAIRE et NON substitutif au traitement médical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Conseils personnalisés au cas par cas — aucune uniformisation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Basés sur des données claires et argumentées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Ne doivent pas interférer avec le parcours thérapeutique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Nécessite une formation spécifique du praticien en oncologie intégrative</w:t>
            </w:r>
          </w:p>
          <w:p w:rsidR="004248F4" w:rsidRPr="00EC52F6" w:rsidRDefault="0022723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C52F6">
              <w:rPr>
                <w:rFonts w:ascii="Book Antiqua" w:hAnsi="Book Antiqua"/>
              </w:rPr>
              <w:t>3 mots clés lors de</w:t>
            </w:r>
            <w:r w:rsidRPr="00EC52F6">
              <w:rPr>
                <w:rFonts w:ascii="Book Antiqua" w:hAnsi="Book Antiqua"/>
              </w:rPr>
              <w:t xml:space="preserve"> l'annonce : le TEMPS, l'ÉCOUTE, les MOTS — soyons humains et empathiques !</w:t>
            </w:r>
          </w:p>
        </w:tc>
      </w:tr>
    </w:tbl>
    <w:p w:rsidR="004248F4" w:rsidRPr="00EC52F6" w:rsidRDefault="004248F4">
      <w:pPr>
        <w:spacing w:before="60" w:after="60"/>
        <w:rPr>
          <w:rFonts w:ascii="Book Antiqua" w:hAnsi="Book Antiqua"/>
        </w:rPr>
      </w:pPr>
    </w:p>
    <w:p w:rsidR="004248F4" w:rsidRPr="00EC52F6" w:rsidRDefault="00227230">
      <w:pPr>
        <w:spacing w:before="60" w:after="60"/>
        <w:rPr>
          <w:rFonts w:ascii="Book Antiqua" w:hAnsi="Book Antiqua"/>
        </w:rPr>
      </w:pPr>
      <w:r w:rsidRPr="00EC52F6">
        <w:rPr>
          <w:rFonts w:ascii="Book Antiqua" w:hAnsi="Book Antiqua"/>
          <w:i/>
          <w:iCs/>
          <w:color w:val="888888"/>
          <w:sz w:val="18"/>
          <w:szCs w:val="18"/>
        </w:rPr>
        <w:t>Sources principales : Panorama des cancers en France 2024, CIRC/OMS, INCa (e-cancer.fr), Hanahan &amp; Weinberg (Cell 2000, 2011, 2022), HAS, WCRF.</w:t>
      </w:r>
    </w:p>
    <w:sectPr w:rsidR="004248F4" w:rsidRPr="00EC52F6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230" w:rsidRDefault="00227230" w:rsidP="00EC52F6">
      <w:r>
        <w:separator/>
      </w:r>
    </w:p>
  </w:endnote>
  <w:endnote w:type="continuationSeparator" w:id="0">
    <w:p w:rsidR="00227230" w:rsidRDefault="00227230" w:rsidP="00EC5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2202466"/>
      <w:docPartObj>
        <w:docPartGallery w:val="Page Numbers (Bottom of Page)"/>
        <w:docPartUnique/>
      </w:docPartObj>
    </w:sdtPr>
    <w:sdtContent>
      <w:p w:rsidR="00EC52F6" w:rsidRDefault="00EC52F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EC52F6" w:rsidRDefault="00EC52F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230" w:rsidRDefault="00227230" w:rsidP="00EC52F6">
      <w:r>
        <w:separator/>
      </w:r>
    </w:p>
  </w:footnote>
  <w:footnote w:type="continuationSeparator" w:id="0">
    <w:p w:rsidR="00227230" w:rsidRDefault="00227230" w:rsidP="00EC5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F70567"/>
    <w:multiLevelType w:val="hybridMultilevel"/>
    <w:tmpl w:val="BA54B71C"/>
    <w:lvl w:ilvl="0" w:tplc="6304F7AA">
      <w:start w:val="1"/>
      <w:numFmt w:val="bullet"/>
      <w:lvlText w:val="•"/>
      <w:lvlJc w:val="left"/>
      <w:pPr>
        <w:ind w:left="720" w:hanging="360"/>
      </w:pPr>
    </w:lvl>
    <w:lvl w:ilvl="1" w:tplc="E82EBDE0">
      <w:numFmt w:val="decimal"/>
      <w:lvlText w:val=""/>
      <w:lvlJc w:val="left"/>
    </w:lvl>
    <w:lvl w:ilvl="2" w:tplc="E3780E56">
      <w:numFmt w:val="decimal"/>
      <w:lvlText w:val=""/>
      <w:lvlJc w:val="left"/>
    </w:lvl>
    <w:lvl w:ilvl="3" w:tplc="4E22BF0C">
      <w:numFmt w:val="decimal"/>
      <w:lvlText w:val=""/>
      <w:lvlJc w:val="left"/>
    </w:lvl>
    <w:lvl w:ilvl="4" w:tplc="CE54F648">
      <w:numFmt w:val="decimal"/>
      <w:lvlText w:val=""/>
      <w:lvlJc w:val="left"/>
    </w:lvl>
    <w:lvl w:ilvl="5" w:tplc="F382674C">
      <w:numFmt w:val="decimal"/>
      <w:lvlText w:val=""/>
      <w:lvlJc w:val="left"/>
    </w:lvl>
    <w:lvl w:ilvl="6" w:tplc="3A9604DA">
      <w:numFmt w:val="decimal"/>
      <w:lvlText w:val=""/>
      <w:lvlJc w:val="left"/>
    </w:lvl>
    <w:lvl w:ilvl="7" w:tplc="87D2011E">
      <w:numFmt w:val="decimal"/>
      <w:lvlText w:val=""/>
      <w:lvlJc w:val="left"/>
    </w:lvl>
    <w:lvl w:ilvl="8" w:tplc="4A96B47A">
      <w:numFmt w:val="decimal"/>
      <w:lvlText w:val=""/>
      <w:lvlJc w:val="left"/>
    </w:lvl>
  </w:abstractNum>
  <w:abstractNum w:abstractNumId="1" w15:restartNumberingAfterBreak="0">
    <w:nsid w:val="6B782FA1"/>
    <w:multiLevelType w:val="hybridMultilevel"/>
    <w:tmpl w:val="EF263512"/>
    <w:lvl w:ilvl="0" w:tplc="3F6C63EE">
      <w:start w:val="1"/>
      <w:numFmt w:val="bullet"/>
      <w:lvlText w:val="●"/>
      <w:lvlJc w:val="left"/>
      <w:pPr>
        <w:ind w:left="720" w:hanging="360"/>
      </w:pPr>
    </w:lvl>
    <w:lvl w:ilvl="1" w:tplc="F78EC2FA">
      <w:start w:val="1"/>
      <w:numFmt w:val="bullet"/>
      <w:lvlText w:val="○"/>
      <w:lvlJc w:val="left"/>
      <w:pPr>
        <w:ind w:left="1440" w:hanging="360"/>
      </w:pPr>
    </w:lvl>
    <w:lvl w:ilvl="2" w:tplc="64604DD0">
      <w:start w:val="1"/>
      <w:numFmt w:val="bullet"/>
      <w:lvlText w:val="■"/>
      <w:lvlJc w:val="left"/>
      <w:pPr>
        <w:ind w:left="2160" w:hanging="360"/>
      </w:pPr>
    </w:lvl>
    <w:lvl w:ilvl="3" w:tplc="949A6BD4">
      <w:start w:val="1"/>
      <w:numFmt w:val="bullet"/>
      <w:lvlText w:val="●"/>
      <w:lvlJc w:val="left"/>
      <w:pPr>
        <w:ind w:left="2880" w:hanging="360"/>
      </w:pPr>
    </w:lvl>
    <w:lvl w:ilvl="4" w:tplc="3BB04D8C">
      <w:start w:val="1"/>
      <w:numFmt w:val="bullet"/>
      <w:lvlText w:val="○"/>
      <w:lvlJc w:val="left"/>
      <w:pPr>
        <w:ind w:left="3600" w:hanging="360"/>
      </w:pPr>
    </w:lvl>
    <w:lvl w:ilvl="5" w:tplc="5254D924">
      <w:start w:val="1"/>
      <w:numFmt w:val="bullet"/>
      <w:lvlText w:val="■"/>
      <w:lvlJc w:val="left"/>
      <w:pPr>
        <w:ind w:left="4320" w:hanging="360"/>
      </w:pPr>
    </w:lvl>
    <w:lvl w:ilvl="6" w:tplc="C8482748">
      <w:start w:val="1"/>
      <w:numFmt w:val="bullet"/>
      <w:lvlText w:val="●"/>
      <w:lvlJc w:val="left"/>
      <w:pPr>
        <w:ind w:left="5040" w:hanging="360"/>
      </w:pPr>
    </w:lvl>
    <w:lvl w:ilvl="7" w:tplc="61741D08">
      <w:start w:val="1"/>
      <w:numFmt w:val="bullet"/>
      <w:lvlText w:val="●"/>
      <w:lvlJc w:val="left"/>
      <w:pPr>
        <w:ind w:left="5760" w:hanging="360"/>
      </w:pPr>
    </w:lvl>
    <w:lvl w:ilvl="8" w:tplc="368ADA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8F4"/>
    <w:rsid w:val="00227230"/>
    <w:rsid w:val="004248F4"/>
    <w:rsid w:val="00EC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927AD"/>
  <w15:docId w15:val="{73838DDC-AA11-475C-82AB-4D51A6AE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C52F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52F6"/>
  </w:style>
  <w:style w:type="paragraph" w:styleId="Pieddepage">
    <w:name w:val="footer"/>
    <w:basedOn w:val="Normal"/>
    <w:link w:val="PieddepageCar"/>
    <w:uiPriority w:val="99"/>
    <w:unhideWhenUsed/>
    <w:rsid w:val="00EC52F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5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1818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Stéphanie</cp:lastModifiedBy>
  <cp:revision>2</cp:revision>
  <dcterms:created xsi:type="dcterms:W3CDTF">2026-03-09T10:09:00Z</dcterms:created>
  <dcterms:modified xsi:type="dcterms:W3CDTF">2026-03-09T10:09:00Z</dcterms:modified>
</cp:coreProperties>
</file>