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fiche-dorientation-en-consultation"/>
      <w:r>
        <w:rPr/>
        <w:t>FICHE D’ORIENTATION EN CONSULTATION</w:t>
      </w:r>
    </w:p>
    <w:p>
      <w:pPr>
        <w:pStyle w:val="Heading2"/>
        <w:rPr/>
      </w:pPr>
      <w:bookmarkStart w:id="1" w:name="identifier-la-phase-de-stress-dominante"/>
      <w:r>
        <w:rPr/>
        <w:t>Identifier la phase de stress dominante</w:t>
      </w:r>
    </w:p>
    <w:p>
      <w:pPr>
        <w:pStyle w:val="Heading3"/>
        <w:rPr/>
      </w:pPr>
      <w:bookmarkStart w:id="2" w:name="phase-1-alarme-stress-aigu-ponctuel"/>
      <w:r>
        <w:rPr/>
        <w:t>Phase 1 – Alarme (stress aigu, ponctuel)</w:t>
      </w:r>
    </w:p>
    <w:p>
      <w:pPr>
        <w:pStyle w:val="FirstParagraph"/>
        <w:rPr/>
      </w:pPr>
      <w:r>
        <w:rPr>
          <w:b/>
          <w:bCs/>
        </w:rPr>
        <w:t>Ressenti dominant</w:t>
      </w:r>
      <w:r>
        <w:rPr/>
        <w:t xml:space="preserve"> : montée brutale de stress, crises, pics anxieux.</w:t>
      </w:r>
    </w:p>
    <w:p>
      <w:pPr>
        <w:pStyle w:val="BodyText"/>
        <w:rPr/>
      </w:pPr>
      <w:r>
        <w:rPr>
          <w:b/>
          <w:bCs/>
        </w:rPr>
        <w:t>Signes clés</w:t>
      </w:r>
      <w:r>
        <w:rPr/>
        <w:br/>
        <w:t>- palpitations, souffle court</w:t>
        <w:br/>
        <w:t>- sueurs, bouffées de chaleur</w:t>
        <w:br/>
        <w:t>- boule dans la gorge, nausées</w:t>
        <w:br/>
        <w:t>- agitation, hypervigilance</w:t>
      </w:r>
    </w:p>
    <w:p>
      <w:pPr>
        <w:pStyle w:val="BodyText"/>
        <w:rPr/>
      </w:pPr>
      <w:r>
        <w:rPr>
          <w:b/>
          <w:bCs/>
        </w:rPr>
        <w:t>Temporalité</w:t>
      </w:r>
      <w:r>
        <w:rPr/>
        <w:t xml:space="preserve"> : récente, situation identifiable.</w:t>
      </w:r>
    </w:p>
    <w:p>
      <w:pPr>
        <w:pStyle w:val="BodyText"/>
        <w:rPr/>
      </w:pPr>
      <w:r>
        <w:rPr>
          <w:b/>
          <w:bCs/>
        </w:rPr>
        <w:t>Question pivot</w:t>
      </w:r>
      <w:r>
        <w:rPr/>
        <w:t xml:space="preserve"> : </w:t>
      </w:r>
      <w:r>
        <w:rPr>
          <w:i/>
          <w:iCs/>
        </w:rPr>
        <w:t>« Est-ce récent et lié à un événement précis ? »</w:t>
      </w:r>
    </w:p>
    <w:p>
      <w:pPr>
        <w:pStyle w:val="Normal"/>
        <w:rPr/>
      </w:pPr>
      <w:bookmarkStart w:id="3" w:name="phase-1-alarme-stress-aigu-ponctue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3"/>
        <w:rPr/>
      </w:pPr>
      <w:bookmarkStart w:id="4" w:name="X1908970b45cdb023e00046388d9e1d4acc01935"/>
      <w:r>
        <w:rPr/>
        <w:t>Phase 2 – Résistance (je tiens mais je m’épuise)</w:t>
      </w:r>
    </w:p>
    <w:p>
      <w:pPr>
        <w:pStyle w:val="FirstParagraph"/>
        <w:rPr/>
      </w:pPr>
      <w:r>
        <w:rPr>
          <w:b/>
          <w:bCs/>
        </w:rPr>
        <w:t>Ressenti dominant</w:t>
      </w:r>
      <w:r>
        <w:rPr/>
        <w:t xml:space="preserve"> : fatigue mentale, tension permanente.</w:t>
      </w:r>
    </w:p>
    <w:p>
      <w:pPr>
        <w:pStyle w:val="BodyText"/>
        <w:rPr/>
      </w:pPr>
      <w:r>
        <w:rPr>
          <w:b/>
          <w:bCs/>
        </w:rPr>
        <w:t>Signes clés</w:t>
      </w:r>
      <w:r>
        <w:rPr/>
        <w:br/>
        <w:t>- brouillard cérébral, troubles de concentration</w:t>
        <w:br/>
        <w:t>- irritabilité, nervosité</w:t>
        <w:br/>
        <w:t>- sommeil peu réparateur</w:t>
        <w:br/>
        <w:t>- infections plus fréquentes</w:t>
      </w:r>
    </w:p>
    <w:p>
      <w:pPr>
        <w:pStyle w:val="BodyText"/>
        <w:rPr/>
      </w:pPr>
      <w:r>
        <w:rPr>
          <w:b/>
          <w:bCs/>
        </w:rPr>
        <w:t>Temporalité</w:t>
      </w:r>
      <w:r>
        <w:rPr/>
        <w:t xml:space="preserve"> : semaines à mois.</w:t>
      </w:r>
    </w:p>
    <w:p>
      <w:pPr>
        <w:pStyle w:val="BodyText"/>
        <w:rPr/>
      </w:pPr>
      <w:r>
        <w:rPr>
          <w:b/>
          <w:bCs/>
        </w:rPr>
        <w:t>Question pivot</w:t>
      </w:r>
      <w:r>
        <w:rPr/>
        <w:t xml:space="preserve"> : </w:t>
      </w:r>
      <w:r>
        <w:rPr>
          <w:i/>
          <w:iCs/>
        </w:rPr>
        <w:t>« Est-ce que vous fonctionnez encore, mais au prix d’efforts constants ? »</w:t>
      </w:r>
    </w:p>
    <w:p>
      <w:pPr>
        <w:pStyle w:val="Normal"/>
        <w:rPr/>
      </w:pPr>
      <w:bookmarkStart w:id="5" w:name="X1908970b45cdb023e00046388d9e1d4acc01935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3"/>
        <w:rPr/>
      </w:pPr>
      <w:bookmarkStart w:id="6" w:name="phase-3-épuisement-psychique"/>
      <w:r>
        <w:rPr/>
        <w:t>Phase 3 – Épuisement psychique</w:t>
      </w:r>
    </w:p>
    <w:p>
      <w:pPr>
        <w:pStyle w:val="FirstParagraph"/>
        <w:rPr/>
      </w:pPr>
      <w:r>
        <w:rPr>
          <w:b/>
          <w:bCs/>
        </w:rPr>
        <w:t>Ressenti dominant</w:t>
      </w:r>
      <w:r>
        <w:rPr/>
        <w:t xml:space="preserve"> : lassitude profonde, perte d’élan.</w:t>
      </w:r>
    </w:p>
    <w:p>
      <w:pPr>
        <w:pStyle w:val="BodyText"/>
        <w:rPr/>
      </w:pPr>
      <w:r>
        <w:rPr>
          <w:b/>
          <w:bCs/>
        </w:rPr>
        <w:t>Signes clés</w:t>
      </w:r>
      <w:r>
        <w:rPr/>
        <w:br/>
        <w:t>- fatigue mentale intense</w:t>
        <w:br/>
        <w:t>- démotivation, perte de confiance</w:t>
        <w:br/>
        <w:t>- douleurs diffuses</w:t>
        <w:br/>
        <w:t>- troubles digestifs marqués</w:t>
      </w:r>
    </w:p>
    <w:p>
      <w:pPr>
        <w:pStyle w:val="BodyText"/>
        <w:rPr/>
      </w:pPr>
      <w:r>
        <w:rPr>
          <w:b/>
          <w:bCs/>
        </w:rPr>
        <w:t>Temporalité</w:t>
      </w:r>
      <w:r>
        <w:rPr/>
        <w:t xml:space="preserve"> : mois à années.</w:t>
      </w:r>
    </w:p>
    <w:p>
      <w:pPr>
        <w:pStyle w:val="BodyText"/>
        <w:rPr/>
      </w:pPr>
      <w:r>
        <w:rPr>
          <w:b/>
          <w:bCs/>
        </w:rPr>
        <w:t>Question pivot</w:t>
      </w:r>
      <w:r>
        <w:rPr/>
        <w:t xml:space="preserve"> : </w:t>
      </w:r>
      <w:r>
        <w:rPr>
          <w:i/>
          <w:iCs/>
        </w:rPr>
        <w:t>« Avez-vous l’impression que votre mental ne suit plus ? »</w:t>
      </w:r>
    </w:p>
    <w:p>
      <w:pPr>
        <w:pStyle w:val="Normal"/>
        <w:rPr/>
      </w:pPr>
      <w:bookmarkStart w:id="7" w:name="phase-3-épuisement-psychiqu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3"/>
        <w:rPr/>
      </w:pPr>
      <w:bookmarkStart w:id="8" w:name="phase-4-épuisement-psychique-et-physique"/>
      <w:r>
        <w:rPr/>
        <w:t>Phase 4 – Épuisement psychique et physique</w:t>
      </w:r>
    </w:p>
    <w:p>
      <w:pPr>
        <w:pStyle w:val="FirstParagraph"/>
        <w:rPr/>
      </w:pPr>
      <w:r>
        <w:rPr>
          <w:b/>
          <w:bCs/>
        </w:rPr>
        <w:t>Ressenti dominant</w:t>
      </w:r>
      <w:r>
        <w:rPr/>
        <w:t xml:space="preserve"> : rupture globale.</w:t>
      </w:r>
    </w:p>
    <w:p>
      <w:pPr>
        <w:pStyle w:val="BodyText"/>
        <w:rPr/>
      </w:pPr>
      <w:r>
        <w:rPr>
          <w:b/>
          <w:bCs/>
        </w:rPr>
        <w:t>Signes clés</w:t>
      </w:r>
      <w:r>
        <w:rPr/>
        <w:br/>
        <w:t>- fatigue extrême permanente</w:t>
        <w:br/>
        <w:t>- anxiété généralisée, attaques de panique</w:t>
        <w:br/>
        <w:t>- troubles du sommeil sévères</w:t>
        <w:br/>
        <w:t>- dérèglements digestifs et immunitaires</w:t>
      </w:r>
    </w:p>
    <w:p>
      <w:pPr>
        <w:pStyle w:val="BodyText"/>
        <w:rPr/>
      </w:pPr>
      <w:r>
        <w:rPr>
          <w:b/>
          <w:bCs/>
        </w:rPr>
        <w:t>Temporalité</w:t>
      </w:r>
      <w:r>
        <w:rPr/>
        <w:t xml:space="preserve"> : installation longue.</w:t>
      </w:r>
    </w:p>
    <w:p>
      <w:pPr>
        <w:pStyle w:val="BodyText"/>
        <w:rPr/>
      </w:pPr>
      <w:r>
        <w:rPr>
          <w:b/>
          <w:bCs/>
        </w:rPr>
        <w:t>Question pivot</w:t>
      </w:r>
      <w:r>
        <w:rPr/>
        <w:t xml:space="preserve"> : </w:t>
      </w:r>
      <w:r>
        <w:rPr>
          <w:i/>
          <w:iCs/>
        </w:rPr>
        <w:t>« Même le repos ne suffit plus ? »</w:t>
      </w:r>
    </w:p>
    <w:p>
      <w:pPr>
        <w:pStyle w:val="Normal"/>
        <w:rPr/>
      </w:pPr>
      <w:bookmarkStart w:id="9" w:name="fiche-dorientation-en-consultation"/>
      <w:bookmarkStart w:id="10" w:name="identifier-la-phase-de-stress-dominante"/>
      <w:bookmarkStart w:id="11" w:name="phase-4-épuisement-psychique-et-physiqu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  <w:bookmarkEnd w:id="10"/>
      <w:bookmarkEnd w:id="11"/>
    </w:p>
    <w:p>
      <w:pPr>
        <w:pStyle w:val="Heading1"/>
        <w:rPr/>
      </w:pPr>
      <w:bookmarkStart w:id="12" w:name="fiche-transversale-anxiété"/>
      <w:r>
        <w:rPr/>
        <w:t>FICHE TRANSVERSALE – ANXIÉTÉ</w:t>
      </w:r>
    </w:p>
    <w:p>
      <w:pPr>
        <w:pStyle w:val="Heading2"/>
        <w:rPr/>
      </w:pPr>
      <w:bookmarkStart w:id="13" w:name="quand-lanxiété-est-au-premier-plan"/>
      <w:r>
        <w:rPr/>
        <w:t>Quand l’anxiété est au premier plan</w:t>
      </w:r>
    </w:p>
    <w:p>
      <w:pPr>
        <w:pStyle w:val="FirstParagraph"/>
        <w:rPr/>
      </w:pPr>
      <w:r>
        <w:rPr>
          <w:b/>
          <w:bCs/>
        </w:rPr>
        <w:t>Important</w:t>
      </w:r>
      <w:r>
        <w:rPr/>
        <w:t xml:space="preserve"> : l’anxiété n’est pas une phase du stress, mais </w:t>
      </w:r>
      <w:r>
        <w:rPr>
          <w:b/>
          <w:bCs/>
        </w:rPr>
        <w:t>une expression possible</w:t>
      </w:r>
      <w:r>
        <w:rPr/>
        <w:t>, présente dans toutes les phases.</w:t>
      </w:r>
    </w:p>
    <w:p>
      <w:pPr>
        <w:pStyle w:val="Heading3"/>
        <w:rPr/>
      </w:pPr>
      <w:bookmarkStart w:id="14" w:name="signes-dominants"/>
      <w:r>
        <w:rPr/>
        <w:t>Signes dominants</w:t>
      </w:r>
    </w:p>
    <w:p>
      <w:pPr>
        <w:pStyle w:val="Compact"/>
        <w:numPr>
          <w:ilvl w:val="0"/>
          <w:numId w:val="1"/>
        </w:numPr>
        <w:rPr/>
      </w:pPr>
      <w:r>
        <w:rPr/>
        <w:t>inquiétude excessive, anticipations négatives</w:t>
        <w:br/>
      </w:r>
    </w:p>
    <w:p>
      <w:pPr>
        <w:pStyle w:val="Compact"/>
        <w:numPr>
          <w:ilvl w:val="0"/>
          <w:numId w:val="1"/>
        </w:numPr>
        <w:rPr/>
      </w:pPr>
      <w:r>
        <w:rPr/>
        <w:t>tension intérieure constante</w:t>
        <w:br/>
      </w:r>
    </w:p>
    <w:p>
      <w:pPr>
        <w:pStyle w:val="Compact"/>
        <w:numPr>
          <w:ilvl w:val="0"/>
          <w:numId w:val="1"/>
        </w:numPr>
        <w:rPr/>
      </w:pPr>
      <w:r>
        <w:rPr/>
        <w:t>troubles digestifs fonctionnels</w:t>
        <w:br/>
      </w:r>
    </w:p>
    <w:p>
      <w:pPr>
        <w:pStyle w:val="Compact"/>
        <w:numPr>
          <w:ilvl w:val="0"/>
          <w:numId w:val="1"/>
        </w:numPr>
        <w:rPr/>
      </w:pPr>
      <w:bookmarkStart w:id="15" w:name="signes-dominants"/>
      <w:r>
        <w:rPr/>
        <w:t>besoin de contrôle, ruminations</w:t>
      </w:r>
      <w:bookmarkEnd w:id="15"/>
    </w:p>
    <w:p>
      <w:pPr>
        <w:pStyle w:val="Heading3"/>
        <w:rPr/>
      </w:pPr>
      <w:bookmarkStart w:id="16" w:name="mécanismes-dominants"/>
      <w:r>
        <w:rPr/>
        <w:t>Mécanismes dominants</w:t>
      </w:r>
    </w:p>
    <w:p>
      <w:pPr>
        <w:pStyle w:val="Compact"/>
        <w:numPr>
          <w:ilvl w:val="0"/>
          <w:numId w:val="11"/>
        </w:numPr>
        <w:rPr/>
      </w:pPr>
      <w:r>
        <w:rPr/>
        <w:t>hyperactivation du système nerveux</w:t>
        <w:br/>
      </w:r>
    </w:p>
    <w:p>
      <w:pPr>
        <w:pStyle w:val="Compact"/>
        <w:numPr>
          <w:ilvl w:val="0"/>
          <w:numId w:val="12"/>
        </w:numPr>
        <w:rPr/>
      </w:pPr>
      <w:r>
        <w:rPr/>
        <w:t>déséquilibre GABA / sérotonine</w:t>
        <w:br/>
      </w:r>
    </w:p>
    <w:p>
      <w:pPr>
        <w:pStyle w:val="Compact"/>
        <w:numPr>
          <w:ilvl w:val="0"/>
          <w:numId w:val="13"/>
        </w:numPr>
        <w:rPr/>
      </w:pPr>
      <w:r>
        <w:rPr/>
        <w:t>hypoglycémies réactionnelles fréquentes</w:t>
        <w:br/>
      </w:r>
    </w:p>
    <w:p>
      <w:pPr>
        <w:pStyle w:val="Compact"/>
        <w:numPr>
          <w:ilvl w:val="0"/>
          <w:numId w:val="14"/>
        </w:numPr>
        <w:rPr/>
      </w:pPr>
      <w:bookmarkStart w:id="17" w:name="mécanismes-dominants"/>
      <w:r>
        <w:rPr/>
        <w:t>digestion perturbée</w:t>
      </w:r>
      <w:bookmarkEnd w:id="17"/>
    </w:p>
    <w:p>
      <w:pPr>
        <w:pStyle w:val="Heading3"/>
        <w:rPr/>
      </w:pPr>
      <w:bookmarkStart w:id="18" w:name="lecture-clinique"/>
      <w:r>
        <w:rPr/>
        <w:t>Lecture clinique</w:t>
      </w:r>
    </w:p>
    <w:p>
      <w:pPr>
        <w:pStyle w:val="Compact"/>
        <w:numPr>
          <w:ilvl w:val="0"/>
          <w:numId w:val="15"/>
        </w:numPr>
        <w:rPr/>
      </w:pPr>
      <w:r>
        <w:rPr/>
        <w:t>anxiété + pics → souvent phase d’alarme</w:t>
        <w:br/>
      </w:r>
    </w:p>
    <w:p>
      <w:pPr>
        <w:pStyle w:val="Compact"/>
        <w:numPr>
          <w:ilvl w:val="0"/>
          <w:numId w:val="16"/>
        </w:numPr>
        <w:rPr/>
      </w:pPr>
      <w:r>
        <w:rPr/>
        <w:t>anxiété + fatigue → phase de résistance</w:t>
        <w:br/>
      </w:r>
    </w:p>
    <w:p>
      <w:pPr>
        <w:pStyle w:val="Compact"/>
        <w:numPr>
          <w:ilvl w:val="0"/>
          <w:numId w:val="17"/>
        </w:numPr>
        <w:rPr/>
      </w:pPr>
      <w:r>
        <w:rPr/>
        <w:t>anxiété + effondrement → épuisement</w:t>
      </w:r>
    </w:p>
    <w:p>
      <w:pPr>
        <w:pStyle w:val="FirstParagraph"/>
        <w:rPr/>
      </w:pPr>
      <w:r>
        <w:rPr/>
        <w:t xml:space="preserve">L’anxiété </w:t>
      </w:r>
      <w:r>
        <w:rPr>
          <w:b/>
          <w:bCs/>
        </w:rPr>
        <w:t>oriente la stratégie</w:t>
      </w:r>
      <w:r>
        <w:rPr/>
        <w:t>, mais c’est la phase de stress qui détermine les priorités.</w:t>
      </w:r>
    </w:p>
    <w:p>
      <w:pPr>
        <w:pStyle w:val="Normal"/>
        <w:rPr/>
      </w:pPr>
      <w:bookmarkStart w:id="19" w:name="fiche-transversale-anxiété"/>
      <w:bookmarkStart w:id="20" w:name="quand-lanxiété-est-au-premier-plan"/>
      <w:bookmarkStart w:id="21" w:name="lecture-cliniqu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  <w:bookmarkEnd w:id="20"/>
      <w:bookmarkEnd w:id="21"/>
    </w:p>
    <w:p>
      <w:pPr>
        <w:pStyle w:val="Heading1"/>
        <w:rPr/>
      </w:pPr>
      <w:bookmarkStart w:id="22" w:name="X091b2bd5f2ce0d99f98a117c1a7dce9649c4553"/>
      <w:r>
        <w:rPr/>
        <w:t>ADAPTATIONS PAR PUBLIC SPÉCIFIQUE (principes)</w:t>
      </w:r>
    </w:p>
    <w:p>
      <w:pPr>
        <w:pStyle w:val="Heading2"/>
        <w:rPr/>
      </w:pPr>
      <w:bookmarkStart w:id="23" w:name="femme-enceinte-allaitante"/>
      <w:r>
        <w:rPr/>
        <w:t>Femme enceinte / allaitante</w:t>
      </w:r>
    </w:p>
    <w:p>
      <w:pPr>
        <w:pStyle w:val="Compact"/>
        <w:numPr>
          <w:ilvl w:val="0"/>
          <w:numId w:val="18"/>
        </w:numPr>
        <w:rPr/>
      </w:pPr>
      <w:r>
        <w:rPr/>
        <w:t>priorité absolue : sécurité, stabilité glycémique</w:t>
        <w:br/>
      </w:r>
    </w:p>
    <w:p>
      <w:pPr>
        <w:pStyle w:val="Compact"/>
        <w:numPr>
          <w:ilvl w:val="0"/>
          <w:numId w:val="19"/>
        </w:numPr>
        <w:rPr/>
      </w:pPr>
      <w:r>
        <w:rPr/>
        <w:t>éviter toute stimulation des surrénales</w:t>
        <w:br/>
      </w:r>
    </w:p>
    <w:p>
      <w:pPr>
        <w:pStyle w:val="Compact"/>
        <w:numPr>
          <w:ilvl w:val="0"/>
          <w:numId w:val="20"/>
        </w:numPr>
        <w:rPr/>
      </w:pPr>
      <w:bookmarkStart w:id="24" w:name="femme-enceinte-allaitante"/>
      <w:r>
        <w:rPr/>
        <w:t>accent sur digestion, magnésium alimentaire, protéines</w:t>
      </w:r>
      <w:bookmarkEnd w:id="24"/>
    </w:p>
    <w:p>
      <w:pPr>
        <w:pStyle w:val="Heading2"/>
        <w:rPr/>
      </w:pPr>
      <w:bookmarkStart w:id="25" w:name="enfants-adolescents"/>
      <w:r>
        <w:rPr/>
        <w:t>Enfants / adolescents</w:t>
      </w:r>
    </w:p>
    <w:p>
      <w:pPr>
        <w:pStyle w:val="Compact"/>
        <w:numPr>
          <w:ilvl w:val="0"/>
          <w:numId w:val="21"/>
        </w:numPr>
        <w:rPr/>
      </w:pPr>
      <w:r>
        <w:rPr/>
        <w:t>lecture comportementale prioritaire (sommeil, agitation, émotions)</w:t>
        <w:br/>
      </w:r>
    </w:p>
    <w:p>
      <w:pPr>
        <w:pStyle w:val="Compact"/>
        <w:numPr>
          <w:ilvl w:val="0"/>
          <w:numId w:val="22"/>
        </w:numPr>
        <w:rPr/>
      </w:pPr>
      <w:r>
        <w:rPr/>
        <w:t>éviter le discours sur le stress</w:t>
        <w:br/>
      </w:r>
    </w:p>
    <w:p>
      <w:pPr>
        <w:pStyle w:val="Compact"/>
        <w:numPr>
          <w:ilvl w:val="0"/>
          <w:numId w:val="23"/>
        </w:numPr>
        <w:rPr/>
      </w:pPr>
      <w:bookmarkStart w:id="26" w:name="enfants-adolescents"/>
      <w:r>
        <w:rPr/>
        <w:t>travail indirect via alimentation, rythme, digestion</w:t>
      </w:r>
      <w:bookmarkEnd w:id="26"/>
    </w:p>
    <w:p>
      <w:pPr>
        <w:pStyle w:val="Heading2"/>
        <w:rPr/>
      </w:pPr>
      <w:bookmarkStart w:id="27" w:name="sportifs"/>
      <w:r>
        <w:rPr/>
        <w:t>Sportifs</w:t>
      </w:r>
    </w:p>
    <w:p>
      <w:pPr>
        <w:pStyle w:val="Compact"/>
        <w:numPr>
          <w:ilvl w:val="0"/>
          <w:numId w:val="24"/>
        </w:numPr>
        <w:rPr/>
      </w:pPr>
      <w:r>
        <w:rPr/>
        <w:t>vigilance sur le surentraînement = facteur de résistance chronique</w:t>
        <w:br/>
      </w:r>
    </w:p>
    <w:p>
      <w:pPr>
        <w:pStyle w:val="Compact"/>
        <w:numPr>
          <w:ilvl w:val="0"/>
          <w:numId w:val="25"/>
        </w:numPr>
        <w:rPr/>
      </w:pPr>
      <w:r>
        <w:rPr/>
        <w:t>besoins protéiques et minéraux accrus</w:t>
        <w:br/>
      </w:r>
    </w:p>
    <w:p>
      <w:pPr>
        <w:pStyle w:val="Compact"/>
        <w:numPr>
          <w:ilvl w:val="0"/>
          <w:numId w:val="26"/>
        </w:numPr>
        <w:rPr/>
      </w:pPr>
      <w:bookmarkStart w:id="28" w:name="sportifs"/>
      <w:r>
        <w:rPr/>
        <w:t>attention aux excitants et au déficit énergétique</w:t>
      </w:r>
      <w:bookmarkEnd w:id="28"/>
    </w:p>
    <w:p>
      <w:pPr>
        <w:pStyle w:val="Heading2"/>
        <w:rPr/>
      </w:pPr>
      <w:bookmarkStart w:id="29" w:name="troubles-digestifs-sii-dysbiose"/>
      <w:r>
        <w:rPr/>
        <w:t>Troubles digestifs (SII, dysbiose)</w:t>
      </w:r>
    </w:p>
    <w:p>
      <w:pPr>
        <w:pStyle w:val="Compact"/>
        <w:numPr>
          <w:ilvl w:val="0"/>
          <w:numId w:val="27"/>
        </w:numPr>
        <w:rPr/>
      </w:pPr>
      <w:r>
        <w:rPr/>
        <w:t>digestion = levier central</w:t>
        <w:br/>
      </w:r>
    </w:p>
    <w:p>
      <w:pPr>
        <w:pStyle w:val="Compact"/>
        <w:numPr>
          <w:ilvl w:val="0"/>
          <w:numId w:val="28"/>
        </w:numPr>
        <w:rPr/>
      </w:pPr>
      <w:r>
        <w:rPr/>
        <w:t>priorité à l’assimilation avant la correction nutritionnelle</w:t>
        <w:br/>
      </w:r>
    </w:p>
    <w:p>
      <w:pPr>
        <w:pStyle w:val="Compact"/>
        <w:numPr>
          <w:ilvl w:val="0"/>
          <w:numId w:val="29"/>
        </w:numPr>
        <w:rPr/>
      </w:pPr>
      <w:bookmarkStart w:id="30" w:name="troubles-digestifs-sii-dysbiose"/>
      <w:r>
        <w:rPr/>
        <w:t>anxiété souvent secondaire à l’axe intestin–cerveau</w:t>
      </w:r>
      <w:bookmarkEnd w:id="30"/>
    </w:p>
    <w:p>
      <w:pPr>
        <w:pStyle w:val="Heading2"/>
        <w:rPr/>
      </w:pPr>
      <w:bookmarkStart w:id="31" w:name="X88256977488b1cd231e77d59b848f2b1e1f639d"/>
      <w:r>
        <w:rPr/>
        <w:t>Personnes sous IPP / traitements chroniques</w:t>
      </w:r>
    </w:p>
    <w:p>
      <w:pPr>
        <w:pStyle w:val="Compact"/>
        <w:numPr>
          <w:ilvl w:val="0"/>
          <w:numId w:val="30"/>
        </w:numPr>
        <w:rPr/>
      </w:pPr>
      <w:r>
        <w:rPr/>
        <w:t>vigilance sur les carences (Mg, B12, fer)</w:t>
        <w:br/>
      </w:r>
    </w:p>
    <w:p>
      <w:pPr>
        <w:pStyle w:val="Compact"/>
        <w:numPr>
          <w:ilvl w:val="0"/>
          <w:numId w:val="31"/>
        </w:numPr>
        <w:rPr/>
      </w:pPr>
      <w:r>
        <w:rPr/>
        <w:t>digestion affaiblie = aggravation du stress</w:t>
        <w:br/>
      </w:r>
    </w:p>
    <w:p>
      <w:pPr>
        <w:pStyle w:val="Compact"/>
        <w:numPr>
          <w:ilvl w:val="0"/>
          <w:numId w:val="32"/>
        </w:numPr>
        <w:rPr/>
      </w:pPr>
      <w:r>
        <w:rPr/>
        <w:t>travail progressif et non stimulant</w:t>
      </w:r>
    </w:p>
    <w:p>
      <w:pPr>
        <w:pStyle w:val="Normal"/>
        <w:rPr/>
      </w:pPr>
      <w:bookmarkStart w:id="32" w:name="X88256977488b1cd231e77d59b848f2b1e1f639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"/>
    </w:p>
    <w:p>
      <w:pPr>
        <w:pStyle w:val="Heading2"/>
        <w:rPr/>
      </w:pPr>
      <w:bookmarkStart w:id="33" w:name="logique-dutilisation-en-consultation"/>
      <w:r>
        <w:rPr/>
        <w:t>Logique d’utilisation en consultation</w:t>
      </w:r>
    </w:p>
    <w:p>
      <w:pPr>
        <w:pStyle w:val="Compact"/>
        <w:numPr>
          <w:ilvl w:val="0"/>
          <w:numId w:val="33"/>
        </w:numPr>
        <w:rPr/>
      </w:pPr>
      <w:r>
        <w:rPr/>
        <w:t>Identifier la phase dominante</w:t>
        <w:br/>
      </w:r>
    </w:p>
    <w:p>
      <w:pPr>
        <w:pStyle w:val="Compact"/>
        <w:numPr>
          <w:ilvl w:val="0"/>
          <w:numId w:val="9"/>
        </w:numPr>
        <w:rPr/>
      </w:pPr>
      <w:r>
        <w:rPr/>
        <w:t>Repérer si l’anxiété est centrale ou secondaire</w:t>
        <w:br/>
      </w:r>
    </w:p>
    <w:p>
      <w:pPr>
        <w:pStyle w:val="Compact"/>
        <w:numPr>
          <w:ilvl w:val="0"/>
          <w:numId w:val="9"/>
        </w:numPr>
        <w:rPr/>
      </w:pPr>
      <w:r>
        <w:rPr/>
        <w:t>Adapter la fiche phase + ajustements spécifiques au terrain</w:t>
      </w:r>
    </w:p>
    <w:p>
      <w:pPr>
        <w:pStyle w:val="FirstParagraph"/>
        <w:spacing w:before="180" w:after="180"/>
        <w:rPr/>
      </w:pPr>
      <w:r>
        <w:rPr/>
        <w:t xml:space="preserve">Cette grille permet une </w:t>
      </w:r>
      <w:r>
        <w:rPr>
          <w:b/>
          <w:bCs/>
        </w:rPr>
        <w:t>lecture rapide, sécurisante et cohérente</w:t>
      </w:r>
      <w:r>
        <w:rPr/>
        <w:t xml:space="preserve"> pour le consultant.</w:t>
      </w:r>
      <w:bookmarkEnd w:id="22"/>
      <w:bookmarkEnd w:id="3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9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resdenotedebasdepage">
    <w:name w:val="Caractères de note de bas de page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LibreOffice/25.2.7.2$Windows_X86_64 LibreOffice_project/5cbfd1ab6520636bb5f7b99185aa69bd7456825d</Application>
  <AppVersion>15.0000</AppVersion>
  <Pages>2</Pages>
  <Words>490</Words>
  <Characters>2868</Characters>
  <CharactersWithSpaces>3287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2026-01-09T15:41:04Z</dcterms:created>
  <dc:creator/>
  <dc:description/>
  <dc:language>fr-FR</dc:language>
  <cp:lastModifiedBy/>
  <dcterms:modified xsi:type="dcterms:W3CDTF">2026-01-09T15:41:04Z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