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2.03918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32"/>
          <w:szCs w:val="32"/>
          <w:u w:val="none"/>
          <w:shd w:fill="auto" w:val="clear"/>
          <w:vertAlign w:val="baseline"/>
          <w:rtl w:val="0"/>
        </w:rPr>
        <w:t xml:space="preserve">Fatigue chronique et Syndrome d’épuisement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59326171875" w:line="240" w:lineRule="auto"/>
        <w:ind w:left="0.99998474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Définition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Syndrome de Fatigue Chronique (SFC)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aussi appelé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encéphalopathie myalgique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Reconnu par l’OMS comme maladie neurologique depuis 1992.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0862941741943" w:lineRule="auto"/>
        <w:ind w:left="0" w:right="-6.99951171875" w:firstLine="1.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Différent de la simple fatigue passagère : fatigue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invalidante, persistante (&gt; 6 mois)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sans anomalie détectée aux exa mens cliniques classiques.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41552734375" w:line="240" w:lineRule="auto"/>
        <w:ind w:left="2.39997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Épidémiologie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0,5 % de la 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(1/200) atteint du SFC.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05859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Principalement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femmes de 20 à 50 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99365234375" w:line="240" w:lineRule="auto"/>
        <w:ind w:left="2.599945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Jusqu’à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25 % de la 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rapporte une fatigue chronique (non systématiquement du SFC).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600830078125" w:line="240" w:lineRule="auto"/>
        <w:ind w:left="8.7999725341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Symptômes caractéristiques (≥ 4 sur 8 – Anderson, 2012)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4.39994812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Troubles de mémoire et de concentration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Céphalées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Maux de gorge récurrents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01074218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Douleurs ganglionnaires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Douleurs musculaires et articulaires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0.999984741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Sommeil non réparateur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Malaise post-effort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99609375" w:line="240" w:lineRule="auto"/>
        <w:ind w:left="6.3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single"/>
          <w:shd w:fill="auto" w:val="clear"/>
          <w:vertAlign w:val="baseline"/>
          <w:rtl w:val="0"/>
        </w:rPr>
        <w:t xml:space="preserve">Causes possibles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99609375" w:line="240" w:lineRule="auto"/>
        <w:ind w:left="2.3999786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Inconnues et controversées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: pas de cause unique démontrée.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002197265625" w:line="228.90804290771484" w:lineRule="auto"/>
        <w:ind w:left="5.7999420166015625" w:right="62.799072265625" w:hanging="4.000015258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Hypothèses explorées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infections (EBV, CMV, Lyme, Candida…), dysrégulation immunitaire, dérèglement neu roendocrinien, stress oxydatif.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433837890625" w:line="457.81725883483887" w:lineRule="auto"/>
        <w:ind w:left="6.399993896484375" w:right="1024.6002197265625" w:hanging="6.39999389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Aujourd’hui considéré comme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déséquilibre multifactoriel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(neurologique, immunitaire, métabolique).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single"/>
          <w:shd w:fill="auto" w:val="clear"/>
          <w:vertAlign w:val="baseline"/>
          <w:rtl w:val="0"/>
        </w:rPr>
        <w:t xml:space="preserve">Conséquences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53271484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Réduction importante de la qualité de vie (incapacité professionnelle/sociale).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3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Impact émotionnel : anxiété, dépression réactionnelle, isolement.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Risque de chronicisation si absence de prise en charge.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681136" cy="14312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6" cy="143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991485" cy="20916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09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881625" cy="308578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25" cy="308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837.0001220703125" w:top="548.00048828125" w:left="1135.6000518798828" w:right="127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