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62.0391845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32"/>
          <w:szCs w:val="32"/>
          <w:u w:val="none"/>
          <w:shd w:fill="auto" w:val="clear"/>
          <w:vertAlign w:val="baseline"/>
          <w:rtl w:val="0"/>
        </w:rPr>
        <w:t xml:space="preserve">Fatigue chronique et Syndrome d’épuisement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59326171875" w:line="240" w:lineRule="auto"/>
        <w:ind w:left="0.99998474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Définition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Syndrome de Fatigue Chronique (SFC)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aussi appelé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encéphalopathie myalgique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0083007812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Reconnu par l’OMS comme maladie neurologique depuis 1992.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0862941741943" w:lineRule="auto"/>
        <w:ind w:left="0" w:right="-142.7952755905511" w:firstLine="1.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Différent de la simple fatigue passagère : fatigue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invalidante, persistante (&gt; 6 mois)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sans anomalie détectée aux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0862941741943" w:lineRule="auto"/>
        <w:ind w:left="0" w:right="-142.7952755905511" w:firstLine="1.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examens cliniques classiques.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841552734375" w:line="240" w:lineRule="auto"/>
        <w:ind w:left="2.399978637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Épidémiologie 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00830078125" w:line="240" w:lineRule="auto"/>
        <w:ind w:left="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0,5 % de la population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(1/200) atteint du SFC.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00585937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0"/>
          <w:szCs w:val="20"/>
          <w:rtl w:val="0"/>
        </w:rPr>
        <w:t xml:space="preserve">Principalement les femmes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 de 20 à 50 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599365234375" w:line="240" w:lineRule="auto"/>
        <w:ind w:left="2.599945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Jusqu’à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25 % de la population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rapporte une fatigue chronique (non systématiquement du SFC).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600830078125" w:line="240" w:lineRule="auto"/>
        <w:ind w:left="8.79997253417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Symptômes caractéristiques (≥ 4 sur 8 – Anderson, 2012)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00830078125" w:line="240" w:lineRule="auto"/>
        <w:ind w:left="4.399948120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Troubles de mémoire et de concentration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99853515625" w:line="240" w:lineRule="auto"/>
        <w:ind w:left="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Céphalées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9985351562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Maux de gorge récurrents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010742187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Douleurs ganglionnaires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9985351562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Douleurs musculaires et articulaires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99853515625" w:line="240" w:lineRule="auto"/>
        <w:ind w:left="10.999984741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Sommeil non réparateur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9985351562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Malaise post-effort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99609375" w:line="240" w:lineRule="auto"/>
        <w:ind w:left="6.399993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single"/>
          <w:shd w:fill="auto" w:val="clear"/>
          <w:vertAlign w:val="baseline"/>
          <w:rtl w:val="0"/>
        </w:rPr>
        <w:t xml:space="preserve">Causes possibles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99609375" w:line="240" w:lineRule="auto"/>
        <w:ind w:left="2.39997863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Inconnues et controversées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: pas de cause unique démontrée.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002197265625" w:line="228.90804290771484" w:lineRule="auto"/>
        <w:ind w:left="5.7999420166015625" w:right="62.799072265625" w:hanging="4.0000152587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Hypothèses explorées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infections (EBV, CMV, Lyme, Candida…), dysrégulation immunitaire, dérèglement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002197265625" w:line="228.90804290771484" w:lineRule="auto"/>
        <w:ind w:left="5.7999420166015625" w:right="62.799072265625" w:hanging="4.0000152587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neuroendocrinien, stress oxydatif.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8433837890625" w:line="457.81725883483887" w:lineRule="auto"/>
        <w:ind w:left="6.399993896484375" w:right="1024.6002197265625" w:hanging="6.399993896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Aujourd’hui considéré comme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8d74"/>
          <w:sz w:val="20"/>
          <w:szCs w:val="20"/>
          <w:u w:val="none"/>
          <w:shd w:fill="auto" w:val="clear"/>
          <w:vertAlign w:val="baseline"/>
          <w:rtl w:val="0"/>
        </w:rPr>
        <w:t xml:space="preserve">déséquilibre multifactoriel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(neurologique, immunitaire, métabolique).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single"/>
          <w:shd w:fill="auto" w:val="clear"/>
          <w:vertAlign w:val="baseline"/>
          <w:rtl w:val="0"/>
        </w:rPr>
        <w:t xml:space="preserve">Conséquences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2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85327148437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Réduction importante de la qualité de vie (incapacité professionnelle/sociale).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99609375" w:line="240" w:lineRule="auto"/>
        <w:ind w:left="3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Impact émotionnel : anxiété, dépression réactionnelle, isolement.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99609375" w:line="240" w:lineRule="auto"/>
        <w:ind w:left="1.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  <w:rtl w:val="0"/>
        </w:rPr>
        <w:t xml:space="preserve">Risque de chronicisation si absence de prise en charge.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36a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4185376" cy="247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5376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-566.9291338582677" w:right="0" w:firstLine="0"/>
        <w:jc w:val="center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3536a"/>
          <w:sz w:val="20"/>
          <w:szCs w:val="20"/>
        </w:rPr>
        <w:drawing>
          <wp:inline distB="114300" distT="114300" distL="114300" distR="114300">
            <wp:extent cx="6578422" cy="34606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8422" cy="3460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99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43536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3536a"/>
          <w:sz w:val="20"/>
          <w:szCs w:val="20"/>
        </w:rPr>
        <w:drawing>
          <wp:inline distB="114300" distT="114300" distL="114300" distR="114300">
            <wp:extent cx="602711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11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837.0001220703125" w:top="548.00048828125" w:left="1135.6000518798828" w:right="1278.3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