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Fiche Pratique : Accompagnement Naturopathique du Sportif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09521484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Évaluation des Besoins Énergétiques et Macronutriments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07421875" w:line="316.00253105163574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L’alimentation du sportif se distingue par une répartition calorique et des besoins accrus par rapport au  sédentaire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44384765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Dépense de repos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~2000 kcal (femmes), ~2300 kcal (hommes)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646484375" w:line="380.49365043640137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Athlètes d'endurance (&gt;90 min/j)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2600-3000 kcal (femmes) à 3500-3800 kcal (hommes)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Coût musculaire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+10 kg de muscle = +120 kcal/jour au repos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67822265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Macronutriments (Calculs par kg de poids de corps)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Protéines (Reconstruction)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1,6 à 2 g/kg. (vs 0,8 g pour un sédentaire)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303.10495376586914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Qualité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Privilégier les protéines animales « complètes » pour leur valeur biologique et leur richesse  en AAE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8134765625" w:line="303.6415100097656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Timing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Fractionner les prises ; consommation optimale dans les heures suivant l'effort (fenêtre  anabolique)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3916015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Glucides (Carburant)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5 à 6 g/kg en moyenne.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303.46272468566895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Variations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Peut descendre à 1,5-2 g/kg (sèche) ou monter jusqu'à 8 g/kg (endurance ou prise de  masse)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517578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Stockage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Glycogène hépatique et musculaire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61474609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Lipides (Structure)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~1,2 g/kg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25415039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Prévention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Veiller au ratio Oméga 6 / Oméga 3 pour limiter l'inflammation (« blessures en -ite »)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309.9114990234375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Timing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À limiter avant et après l'effort pour ne pas ralentir la vidange gastrique et la recharge en  glycogène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78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Les 3 Maillons Faibles (Cœur de l'approche Naturo)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0621337890625" w:line="309.5536708831787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L'effort intense génère des déséquilibres spécifiques qu'il faut compenser systématiquement.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0621337890625" w:line="309.5536708831787" w:lineRule="auto"/>
        <w:ind w:left="-566.9291338582677" w:right="-529.7244094488178" w:firstLine="566.929133858267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L'Interface Digestive (Leaky Gut)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405029296875" w:line="380.492877960205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phénomène d'ischémie-reperfusion durant l'effort long augmente l'hyperperméabilité intestinale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Glutamine, Vitamine A, Vitamine D, Zinc et Oméga 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-566.9291338582677" w:right="-529.7244094488178" w:firstLine="566.929133858267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La Protection Cellulaire (Stress Oxydatif)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263244628906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L'entraînement intensif augmente la production d'espèces oxygénées actives (radicaux libres)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0916862487793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Vitamine A (rétinol), Vitamine E (tocophérols), Sélénium 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Sélénométhionine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,  CoQ10 (forme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ubiquinol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impérative (bioactive)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41845703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Cofacteurs du glutathion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NAC, Glycine, Glutamine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Aliments à haut score ORAC (ex: champignon Chaga)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2578125" w:line="240" w:lineRule="auto"/>
        <w:ind w:left="-566.9291338582677" w:right="-529.7244094488178" w:firstLine="566.929133858267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C. Les Membranes Cellulaires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381.0315799713135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Composées de lipides, elles conditionnent les échanges nutritionnels et la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Apport qualitatif en AGPI (Oméga 3 et 6)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65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Hydratation et Micronutrition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81103515625" w:line="380.49365043640137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Une déshydratation minime chute drastiquement la performance et augmente l'acidité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81103515625" w:line="380.49365043640137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Hydratation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 ml d'eau par kcal dépensée, soit environ 0,5 à 1 L par heure d'effort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3828125" w:line="303.1043815612793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 Isotonique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Même concentration que le sang, assimilation optimale (30 à 60g de  glucides/L).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3901367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Hypotonique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les climats très chauds (réhydratation rapide).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257080078125" w:line="374.04327392578125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Minéraux critiques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Sodium, Potassium, Magnésium, Zinc, Fer, Cuivre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Surveiller les niveaux par des sérologies régulières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653076171875" w:line="374.043846130371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Boissons d'effort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Boissons énergétiques avec 30 à 50 g de sucre par 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Vigilance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Préférer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au fructose dans les boissons pour éviter les troubles digestifs.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642333984375" w:line="476.73216819763184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Stratégies de Complémentation en Protéines/récupération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Whey/Types 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296630859375" w:line="315.02534866333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Whey Native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Obtenue par micro-filtration à froid (meilleure qualité). Autres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résidus de  l'industrie fromagère.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5385742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Concentrée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~70% protéines, contient du lactose (5-10%).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80078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Isolat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Idéal si intolérance au lactose ou pour les seniors (&gt;90 % prot.)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523193359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Hydrolysat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Pré-digérée, assimilation ultra-rapide.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55493164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Usage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20 à 25g (un "scoop") après l'effort.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Atout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Très riche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Leucine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, l'acide aminé le plus anabolisant.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303.1043815612793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Précautions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Un excès de protéines (&gt; 2,5g/kg) favorise l'acidose métabolique et les fuites  calciques urinaires. Toujours accompagner d'une alimentation alcalinisante (fruits et légumes)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587463378906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Caséine - Assimilation Lente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Usage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soir au coucher pour une libération prolongée d'acides aminés durant le sommeil.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46058654785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Vigilance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Souvent inflammatoire (type A1). Préférer les sources de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(brebis, chèvre) pour éviter le  peptide BCM-7 qui perturbe le transit et l'humeur.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4345703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Alternatives Végétales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59765625" w:line="411.9569206237793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Soja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est la plus complète. Score de digestibilité : Soja &gt; Quinoa &gt; Chanvre.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59765625" w:line="411.9569206237793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ACIDES AMINÉS &amp; DÉRIVÉS SPÉCIFIQUES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82861328125" w:line="303.10495376586914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BCAA (Leucine, Valine, Isoleucine)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Utiles pour économiser le glycogène à l'effort.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Note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Ils sont  moins efficaces seuls qu'au sein d'une protéine complète (Whey) qui apporte les 8 acides aminés essentiels.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9501953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Créatine (Monohydrate)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les efforts courts/intenses (force).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2529296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Attaque (10-15g/j pendant 2-3j) puis maintien (3g/j</w:t>
      </w:r>
      <w:r w:rsidDel="00000000" w:rsidR="00000000" w:rsidRPr="00000000">
        <w:rPr>
          <w:rFonts w:ascii="Times New Roman" w:cs="Times New Roman" w:eastAsia="Times New Roman" w:hAnsi="Times New Roman"/>
          <w:sz w:val="22.31999969482422"/>
          <w:szCs w:val="22.31999969482422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2021484375" w:line="309.91127014160156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Bêta-alanine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Augmente la carnosine pour neutraliser l'acidité musculaire. Très utile chez les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seniors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et les végétariens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12121212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091064453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Collagène (Peptides)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Choisir un hydrolysat de 2000 à 6000 daltons.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5537109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Type I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Peau, tendons, os.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Type II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Cartilages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Cas Particuliers : Le Sportif Senior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792724609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Accompagnement spécifique pour lutter contre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sarcopénie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et l'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ostéopénie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Objectif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Maintenir la masse musculaire et osseuse via la musculation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303.1046676635742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pratique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Privilégier l'isolat ou l'hydrolysat de whey sans lactose pour éviter les diarrhées  fréquentes à cet âge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79150390625" w:line="315.02534866333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Minéraux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Calcium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Supplémentation souvent nécessaire car l'apport protéique élevé  augmente les fuites calciques urinaires.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453125" w:line="660.8464622497559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Vitamine D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À coupler avec le calcium pour optimiser l'absorption.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Chrono-nutrition de l'Événement (ex: Marathon)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J-10 à J-3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Rations ultra-riches en glucides (~8 g/kg) pour saturer le glycogène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J-3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Limiter le cru, les fibres et le lactose pour éviter les troubles digestifs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jour J (H-3)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Repas très digeste, faible en lipides pour accélérer la vidange gastrique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Pendant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60 g de glucides par heure (gels, boissons, compotes)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Récupération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Glucides et protéines rapidement après l'effort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566.9291338582677" w:right="227.91748046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FOCUS 1 : STRATÉGIE DES GLUCIDES (IG ET TIMING)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971939086914062" w:right="227.91748046875" w:firstLine="2.188796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une épreuve d'endurance (ex: Marathon) : </w:t>
      </w:r>
    </w:p>
    <w:tbl>
      <w:tblPr>
        <w:tblStyle w:val="Table1"/>
        <w:tblW w:w="9647.120513916016" w:type="dxa"/>
        <w:jc w:val="left"/>
        <w:tblInd w:w="15.40077209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8.5200500488281"/>
        <w:gridCol w:w="1642.60009765625"/>
        <w:gridCol w:w="1340.1995849609375"/>
        <w:gridCol w:w="5165.80078125"/>
        <w:tblGridChange w:id="0">
          <w:tblGrid>
            <w:gridCol w:w="1498.5200500488281"/>
            <w:gridCol w:w="1642.60009765625"/>
            <w:gridCol w:w="1340.1995849609375"/>
            <w:gridCol w:w="5165.80078125"/>
          </w:tblGrid>
        </w:tblGridChange>
      </w:tblGrid>
      <w:tr>
        <w:trPr>
          <w:cantSplit w:val="0"/>
          <w:trHeight w:val="1109.400634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4.03915405273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Type de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6953125" w:line="240" w:lineRule="auto"/>
              <w:ind w:left="47.25120544433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Période Objectif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5.3782653808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Glucides &amp;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94.4201660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Recommandations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3181.5840148925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IG </w:t>
            </w:r>
          </w:p>
        </w:tc>
      </w:tr>
      <w:tr>
        <w:trPr>
          <w:cantSplit w:val="0"/>
          <w:trHeight w:val="87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3496704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J-10 à J-3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574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Saturation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50.3424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Glycogène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IG Bas /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39.124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Rations riches (~8 g/kg)</w:t>
            </w:r>
          </w:p>
        </w:tc>
      </w:tr>
      <w:tr>
        <w:trPr>
          <w:cantSplit w:val="0"/>
          <w:trHeight w:val="87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3496704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J-3 au Jour 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9768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Confort Digestif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57092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Pauvre en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52612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fibres/lactose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67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Limiter le cru et les irritants</w:t>
            </w:r>
          </w:p>
        </w:tc>
      </w:tr>
      <w:tr>
        <w:trPr>
          <w:cantSplit w:val="0"/>
          <w:trHeight w:val="87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832611083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Repas 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87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Énergie stable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IG Bas /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39.124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Ration très digeste, faible en lipides</w:t>
            </w:r>
          </w:p>
        </w:tc>
      </w:tr>
      <w:tr>
        <w:trPr>
          <w:cantSplit w:val="0"/>
          <w:trHeight w:val="8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5120544433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Pendant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53.947219848632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(60g/h)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87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Énergie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46.771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immédiate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IG Haut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46.26708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(rapides)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142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Gels, compotes, boissons énergétiques</w:t>
            </w:r>
          </w:p>
        </w:tc>
      </w:tr>
      <w:tr>
        <w:trPr>
          <w:cantSplit w:val="0"/>
          <w:trHeight w:val="87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5120544433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Post-effort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94323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Récupération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.5534133911133" w:lineRule="auto"/>
              <w:ind w:left="39.5709228515625" w:right="17.4517822265625" w:firstLine="0.892944335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IG Haut puis  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74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31999969482422"/>
                <w:szCs w:val="22.31999969482422"/>
                <w:u w:val="none"/>
                <w:shd w:fill="auto" w:val="clear"/>
                <w:vertAlign w:val="baseline"/>
                <w:rtl w:val="0"/>
              </w:rPr>
              <w:t xml:space="preserve">Sucres rapides immédiatement, puis glucides complexes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607360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FOCUS 2 : PROTOCOLE "RECOVERY &amp; LEAKY GUT"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796630859375" w:line="309.6250820159912" w:lineRule="auto"/>
        <w:ind w:left="18.079147338867188" w:right="544.481201171875" w:firstLine="0.6696319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À proposer systématiquement après des cycles d'entraînements traumatisants ou des épreuves longues.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Réparation muqueuse : L-Glutamine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(AA clé, carburant de l'entérocyte)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Modulation inflammation des muqueuses : Oméga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(EPA/DHA) de haute qualité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Cofacteurs : Zinc, Vitamines A et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l'étanchéité des jonctions serrées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Alcalinisation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Alimentation riche en fruits et légumes pour tamponner l'acidose métabolique  induite par l'effort et les protéines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pré-effort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Limiter le gluten, les fibres et le lactose (même si toléré habituellement) 2 à 3  jours avant une compétition.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0" w:right="207.628173828125" w:firstLine="33.25675964355469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31999969482422"/>
          <w:szCs w:val="34.31999969482422"/>
          <w:u w:val="none"/>
          <w:shd w:fill="auto" w:val="clear"/>
          <w:vertAlign w:val="baseline"/>
          <w:rtl w:val="0"/>
        </w:rPr>
        <w:t xml:space="preserve">FICHE EXPERT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665283203125" w:line="240" w:lineRule="auto"/>
        <w:ind w:left="30.8448028564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1. COMPARATIF : SPORTS DE FORCE VS ENDURANCE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21728515625" w:line="315.0248336791992" w:lineRule="auto"/>
        <w:ind w:left="18.489608764648438" w:right="899.388427734375" w:hanging="0.23765563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besoins physiologiques divergent selon la filière énergétique et le type de traumatisme  tissulaire. </w:t>
      </w:r>
    </w:p>
    <w:tbl>
      <w:tblPr>
        <w:tblStyle w:val="Table2"/>
        <w:tblW w:w="9647.120513916016" w:type="dxa"/>
        <w:jc w:val="left"/>
        <w:tblInd w:w="15.40077209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520050048828"/>
        <w:gridCol w:w="3191.5997314453125"/>
        <w:gridCol w:w="3242.000732421875"/>
        <w:tblGridChange w:id="0">
          <w:tblGrid>
            <w:gridCol w:w="3213.520050048828"/>
            <w:gridCol w:w="3191.5997314453125"/>
            <w:gridCol w:w="3242.000732421875"/>
          </w:tblGrid>
        </w:tblGridChange>
      </w:tblGrid>
      <w:tr>
        <w:trPr>
          <w:cantSplit w:val="0"/>
          <w:trHeight w:val="821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2241821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9.60000038146973"/>
                <w:szCs w:val="39.60000038146973"/>
                <w:u w:val="none"/>
                <w:shd w:fill="auto" w:val="clear"/>
                <w:vertAlign w:val="subscript"/>
                <w:rtl w:val="0"/>
              </w:rPr>
              <w:t xml:space="preserve">Caractéristique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Sports de Force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103271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Sports d'Endurance (Trail,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720947265625" w:line="240" w:lineRule="auto"/>
              <w:ind w:left="3260.4496765136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(Haltérophilie, Musculation)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0.5639648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Cyclisme, Triathlon)</w:t>
            </w:r>
          </w:p>
        </w:tc>
      </w:tr>
      <w:tr>
        <w:trPr>
          <w:cantSplit w:val="0"/>
          <w:trHeight w:val="827.91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Objectif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0838222503662" w:lineRule="auto"/>
              <w:ind w:left="39.8016357421875" w:right="600.924072265625" w:firstLine="0.71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Hypertrophie et puissance  musculaire.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0838222503662" w:lineRule="auto"/>
              <w:ind w:left="42.415771484375" w:right="320.347900390625" w:firstLine="0.2374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Capacité aérobie et économie  d'énergie.</w:t>
            </w:r>
          </w:p>
        </w:tc>
      </w:tr>
      <w:tr>
        <w:trPr>
          <w:cantSplit w:val="0"/>
          <w:trHeight w:val="821.28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1237182617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Glucides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85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4 à 6 g/kg (soutien de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12158203125" w:line="240" w:lineRule="auto"/>
              <w:ind w:left="40.514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l'intensité).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86364746094" w:lineRule="auto"/>
              <w:ind w:left="42.6531982421875" w:right="694.3304443359375" w:firstLine="3.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6 à 10 g/kg (saturation du  glycogène).</w:t>
            </w:r>
          </w:p>
        </w:tc>
      </w:tr>
      <w:tr>
        <w:trPr>
          <w:cantSplit w:val="0"/>
          <w:trHeight w:val="82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481613159179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Protéines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4196491241455" w:lineRule="auto"/>
              <w:ind w:left="42.4151611328125" w:right="246.1126708984375" w:firstLine="9.0289306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1,8 à 2,2 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(reconstruction  des fibres).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4196491241455" w:lineRule="auto"/>
              <w:ind w:left="39.80224609375" w:right="468.974609375" w:firstLine="11.641845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1,4 à 1,6 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(réparation et  néoglucogenèse).</w:t>
            </w:r>
          </w:p>
        </w:tc>
      </w:tr>
      <w:tr>
        <w:trPr>
          <w:cantSplit w:val="0"/>
          <w:trHeight w:val="8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2241821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Compléments Clés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5301761627197" w:lineRule="auto"/>
              <w:ind w:left="39.8016357421875" w:right="463.59130859375" w:firstLine="2.85125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Créatine, BCAA (Leucine),  Protéines de Whey.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5301761627197" w:lineRule="auto"/>
              <w:ind w:left="43.603515625" w:right="262.13623046875" w:hanging="4.75219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Fer, Magnésium, Électrolytes,  Glutamine.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481613159179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Point de Vigilance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3486633301" w:lineRule="auto"/>
              <w:ind w:left="37.1881103515625" w:right="284.202880859375" w:firstLine="2.376098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Acidose métabolique et santé  rénale.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3486633301" w:lineRule="auto"/>
              <w:ind w:left="47.4053955078125" w:right="312.982177734375" w:hanging="6.8908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Hyperperméabilité intestinale  (Leaky Gut).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2. LE SPORTIF ADOLESCENT : CROISSANCE &amp; PERFORMANCE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20703125" w:line="240" w:lineRule="auto"/>
        <w:ind w:left="-566.9291338582677" w:right="-529.724409448817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L'adolescence est une période critique où la dépense liée à l'activité s'ajoute à celle de la croissance.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1118164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Priorité Énergétique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Éviter absolument les déficits caloriques qui peuvent retarder la  croissance ou la puberté.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5385742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Besoins en Calcium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Cruciaux pour la minéralisation osseuse. L'apport doit être supérieur  à celui de l'adulte (environ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1200 mg/j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45703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Fer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Surveillance accrue chez les jeunes filles sportives (pertes menstruelles + pertes par la  sueur).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4530029296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3.760000228881836"/>
          <w:szCs w:val="23.7600002288818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conseil Naturo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Éviter les compléments stimulants (type pré-workout caféinés).  Privilégier une alimentation dense en nutriments plutôt que des poudres, sauf cas de pratique  intensive où une whey de qualité peut aider à la collation.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3. PROTOCOLE POUR LE SPORTIF VÉGÉTALIEN (VEGAN)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607055664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défi majeur est la densité protéique et la biodisponibilité des nutriments.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A. Optimisation des Protéines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52026367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Complémentarité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Associer impérativement Céréales (méthionine) + Légumineuses  (lysine) pour un profil d'acides aminés complet.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477539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Digestibilité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protéines végétales ont une paroi cellulosique qui limite l'absorption.  Conseiller le trempage, la germination ou le recours à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isolats de protéines végétales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(riz, pois,  soja) pour augmenter le score de digestibilité.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46191406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B. Micronutrition Critique (Supplémentation conseillée)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2089843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Vitamine B12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Supplémentation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obligatoire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(250 µg/semaine ou dose quotidienne).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2119140625" w:line="315.0248336791992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Zinc &amp; Fer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phytates des végétaux bloquent leur absorption. Ajouter de la Vitamine C  aux repas et espacer le thé/café.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4560546875" w:line="315.19380569458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Oméga-3 (DHA/EPA)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sportif vegan convertit mal l'ALA (lin). Une supplémentation à  base d'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huile d'algues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est souvent nécessaire pour la protection cardiovasculaire et anti inflammatoire.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4560546875" w:line="315.19380569458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3.760000228881836"/>
          <w:szCs w:val="23.7600002288818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4. RAPPEL DES PILIERS "MAILLONS FAIBLES" (Synthèse globale)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8874053955078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 �� L'Interface Digestive (Leaky Gut)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218017578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L'ischémie-reperfusion (sang qui quitte le tube digestif pour les muscles) crée des micro-lésions.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11181640625" w:line="315.5301761627197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L-Glutamine (5g/jour), Zinc, et éviter les fibres/gluten/lactose 72h avant une  compétition.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560546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�� La Protection Cellulaire (Stress Oxydatif)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114257812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L'excès de radicaux libres endommage les membranes.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05078125" w:line="315.02534866333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Coenzyme Q10 (Ubiquinol), Vitamine E, et aliments à haut score ORAC  (comme le champignon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Chaga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455810546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�� L'Hydratation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7205810546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Règle d'or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Ne pas attendre la soif.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078857421875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Pendant l'effort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Boisson isotonique (30g à 60g de glucides par litre) avec une pincée de  sel pour favoriser l'absorption de l'eau.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078857421875" w:line="315.0253486633301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sz w:val="23.760000228881836"/>
          <w:szCs w:val="23.7600002288818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5. STRATÉGIE DE COMPLÉMENTATION (Détail technique)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Whey Native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"must" pour la récupération immédiate (riche en Leucine).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Caséine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la nuit (assimilation lente), privilégier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brebis ou chèvre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(Caséine A2)  pour limiter l'infla</w:t>
      </w:r>
      <w:r w:rsidDel="00000000" w:rsidR="00000000" w:rsidRPr="00000000">
        <w:rPr>
          <w:rFonts w:ascii="Times New Roman" w:cs="Times New Roman" w:eastAsia="Times New Roman" w:hAnsi="Times New Roman"/>
          <w:sz w:val="23.760000228881836"/>
          <w:szCs w:val="23.760000228881836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Créatine Monohydrate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la force et la récupération neurologique (3g/jour).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-566.929133858267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Bêta-Alanine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tamponner l'acidité dans sports d'intensité (4-6g/jour, en p</w:t>
      </w:r>
      <w:r w:rsidDel="00000000" w:rsidR="00000000" w:rsidRPr="00000000">
        <w:rPr>
          <w:rFonts w:ascii="Times New Roman" w:cs="Times New Roman" w:eastAsia="Times New Roman" w:hAnsi="Times New Roman"/>
          <w:sz w:val="23.760000228881836"/>
          <w:szCs w:val="23.760000228881836"/>
          <w:rtl w:val="0"/>
        </w:rPr>
        <w:t xml:space="preserve">lusieurs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 prises pour éviter les picotements).</w:t>
      </w:r>
    </w:p>
    <w:sectPr>
      <w:pgSz w:h="16840" w:w="11900" w:orient="portrait"/>
      <w:pgMar w:bottom="1195.6800079345703" w:top="1109.19921875" w:left="1115.4792022705078" w:right="11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