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tblGridChange w:id="0">
          <w:tblGrid>
            <w:gridCol w:w="2263"/>
            <w:gridCol w:w="13433"/>
          </w:tblGrid>
        </w:tblGridChange>
      </w:tblGrid>
      <w:tr>
        <w:trPr>
          <w:cantSplit w:val="0"/>
          <w:trHeight w:val="550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24"/>
                <w:szCs w:val="24"/>
              </w:rPr>
            </w:pPr>
            <w:bookmarkStart w:colFirst="0" w:colLast="0" w:name="_heading=h.bpa2gqy0qjg7" w:id="0"/>
            <w:bookmarkEnd w:id="0"/>
            <w:r w:rsidDel="00000000" w:rsidR="00000000" w:rsidRPr="00000000">
              <w:rPr>
                <w:b w:val="1"/>
                <w:bCs w:val="1"/>
                <w:color w:val="e97132"/>
                <w:sz w:val="32"/>
                <w:szCs w:val="32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Définition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97132"/>
                <w:rtl w:val="0"/>
              </w:rPr>
              <w:t xml:space="preserve">Symptômes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e9713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97132"/>
                <w:rtl w:val="0"/>
              </w:rPr>
              <w:t xml:space="preserve">Liens systèmes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e9713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  <w:i w:val="1"/>
                <w:iCs w:val="1"/>
                <w:color w:val="80350d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2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207"/>
              <w:tblGridChange w:id="0">
                <w:tblGrid>
                  <w:gridCol w:w="132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Digestion – Absorption (perméabilité intestinale, microbiote) 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3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SI (Surveillance immunitaire) 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80350d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6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INF (Processus inflammatoire) 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sz w:val="18"/>
                      <w:szCs w:val="18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Régulation Neuro Hormonale) 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Evolution – Risque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  <w:i w:val="1"/>
                <w:i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« Intégrité structurale 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Diagnostic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Causes</w:t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i w:val="1"/>
                <w:iCs w:val="1"/>
                <w:color w:val="4ea72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« Facteurs FP (prédisposant) – 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i w:val="1"/>
                <w:iCs w:val="1"/>
                <w:color w:val="80350d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FD (déclenchant) – FF  (favorisant) 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Enquête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Questions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Bilans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Allopathie préventive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Naturopathie préventive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0" w:hanging="113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0" w:hanging="113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Bilans/tests Naturopathiques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b w:val="1"/>
          <w:bCs w:val="1"/>
          <w:color w:val="156082"/>
          <w:sz w:val="28"/>
          <w:szCs w:val="28"/>
          <w:rtl w:val="0"/>
        </w:rPr>
        <w:t xml:space="preserve">HYGIENE DE VIE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tblGridChange w:id="0">
          <w:tblGrid>
            <w:gridCol w:w="2263"/>
            <w:gridCol w:w="134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Conseils hygiéno-diététiques 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i w:val="1"/>
                <w:iCs w:val="1"/>
                <w:color w:val="15608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f9ed5"/>
                <w:rtl w:val="0"/>
              </w:rPr>
              <w:t xml:space="preserve">DIET (Détoxification – Biotransformation)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Conseils nutritionnels  (rééquilibrage, régimes, Superaliments, Huiles, Prds mer, outils – appareils…)</w:t>
            </w:r>
          </w:p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1"/>
                <w:bCs w:val="1"/>
                <w:i w:val="1"/>
                <w:i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f9ed5"/>
                <w:rtl w:val="0"/>
              </w:rPr>
              <w:t xml:space="preserve">Détoxification – Biotransformation (DIET)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Activité physique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80350d"/>
                <w:rtl w:val="0"/>
              </w:rPr>
              <w:t xml:space="preserve">PSY</w:t>
            </w: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 - Hygiène psycho-émotionnelle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Hydrologie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Phytologie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Aromatologie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Gemmothérapie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C.A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Pdrs de la mer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Plantes – champignons adaptogènes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Produits de la ruche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Autres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1905" w:w="16840" w:orient="landscape"/>
      <w:pgMar w:bottom="284" w:top="851" w:left="567" w:right="567" w:header="357" w:footer="94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D6323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D6323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D6323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D6323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D6323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D6323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D6323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D63239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D63239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D63239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D63239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D63239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D6323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D6323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D6323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D63239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D63239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D63239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D6323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63239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D63239"/>
    <w:rPr>
      <w:b w:val="1"/>
      <w:bCs w:val="1"/>
      <w:smallCaps w:val="1"/>
      <w:color w:val="0f4761" w:themeColor="accent1" w:themeShade="0000BF"/>
      <w:spacing w:val="5"/>
    </w:rPr>
  </w:style>
  <w:style w:type="table" w:styleId="Grilledutableau">
    <w:name w:val="Table Grid"/>
    <w:basedOn w:val="TableauNormal"/>
    <w:uiPriority w:val="39"/>
    <w:rsid w:val="00D632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paE3aStx2g8cmwP0ILnC3gpGrQ==">CgMxLjAyDmguYnBhMmdxeTBxamc3OAByITFhUExtUmJ1TGUzLVlHTE1TQV91VmRKZmFCaERIdGtZRw==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2026-01-17T17:23:00Z</dcterms:created>
  <dc:creator>Valérie BOURG</dc:creator>
</cp:coreProperties>
</file>