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 mc:Ignorable="w14 wp14 ">
  <w:body>
    <w:p w14:paraId="00000001">
      <w:pPr>
        <w:keepNext w:val="off"/>
        <w:keepLines w:val="off"/>
        <w:pageBreakBefore w:val="off"/>
        <w:widowControl w:val="off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0" w:right="0" w:firstLine="0"/>
        <w:jc w:val="left"/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Table1"/>
        <w:tblW w:w="1569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2263"/>
        <w:gridCol w:w="13433"/>
      </w:tblGrid>
      <w:tr>
        <w:trPr>
          <w:cantSplit w:val="off"/>
          <w:trHeight w:val="5507" w:hRule="atLeast"/>
          <w:tblHeader w:val="off"/>
        </w:trPr>
        <w:tc>
          <w:tcPr>
            <w:cnfStyle w:val="000000100000"/>
          </w:tcPr>
          <w:p w14:paraId="00000002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e97132"/>
                <w:sz w:val="32"/>
                <w:szCs w:val="32"/>
              </w:rPr>
              <w:t>Gingivite</w:t>
            </w:r>
            <w:bookmarkStart w:id="0" w:name="_heading=h.bpa2gqy0qjg7"/>
            <w:bookmarkEnd w:id="0"/>
          </w:p>
          <w:p w14:paraId="00000003">
            <w:pPr>
              <w:rPr>
                <w:sz w:val="24"/>
                <w:szCs w:val="24"/>
              </w:rPr>
            </w:pPr>
          </w:p>
          <w:p w14:paraId="00000004">
            <w:pPr>
              <w:rPr>
                <w:sz w:val="24"/>
                <w:szCs w:val="24"/>
              </w:rPr>
            </w:pPr>
          </w:p>
          <w:p w14:paraId="00000005">
            <w:pPr>
              <w:rPr>
                <w:sz w:val="24"/>
                <w:szCs w:val="24"/>
              </w:rPr>
            </w:pPr>
          </w:p>
          <w:p w14:paraId="00000006">
            <w:pPr>
              <w:rPr>
                <w:sz w:val="24"/>
                <w:szCs w:val="24"/>
              </w:rPr>
            </w:pPr>
          </w:p>
          <w:p w14:paraId="00000007">
            <w:pPr>
              <w:rPr>
                <w:b/>
                <w:bCs/>
                <w:sz w:val="24"/>
                <w:szCs w:val="24"/>
              </w:rPr>
            </w:pPr>
          </w:p>
          <w:p w14:paraId="000000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cnfStyle w:val="000000100000"/>
          </w:tcPr>
          <w:p w14:paraId="00000009">
            <w:pPr>
              <w:rPr>
                <w:color w:val="156082"/>
                <w:lang w:val="fr-FR"/>
              </w:rPr>
            </w:pPr>
            <w:r>
              <w:rPr>
                <w:b/>
                <w:bCs/>
                <w:color w:val="156082"/>
                <w:rtl w:val="off"/>
              </w:rPr>
              <w:t>Définition : Inflammation des gencives due à une accumulation de la plaque dentaire.</w:t>
            </w:r>
          </w:p>
          <w:p w14:paraId="0000000A">
            <w:pPr>
              <w:rPr>
                <w:b/>
                <w:bCs/>
              </w:rPr>
            </w:pPr>
          </w:p>
          <w:p w14:paraId="0000000B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e97132"/>
                <w:rtl w:val="off"/>
              </w:rPr>
              <w:t>Symptômes : gencives enflammées</w:t>
            </w:r>
          </w:p>
          <w:p w14:paraId="0000000C"/>
          <w:p w14:paraId="0000000D">
            <w:pPr>
              <w:rPr>
                <w:color w:val="e97132"/>
                <w:sz w:val="20"/>
                <w:szCs w:val="20"/>
              </w:rPr>
            </w:pPr>
            <w:r>
              <w:rPr>
                <w:b/>
                <w:bCs/>
                <w:color w:val="e97132"/>
                <w:rtl w:val="off"/>
              </w:rPr>
              <w:t xml:space="preserve">Liens systèmes : </w:t>
            </w:r>
          </w:p>
          <w:p w14:paraId="0000000E">
            <w:pPr>
              <w:rPr>
                <w:color w:val="e97132"/>
                <w:sz w:val="20"/>
                <w:szCs w:val="20"/>
              </w:rPr>
            </w:pPr>
          </w:p>
          <w:p w14:paraId="0000000F">
            <w:pPr>
              <w:rPr>
                <w:b/>
                <w:bCs/>
                <w:i/>
                <w:iCs/>
                <w:color w:val="80350d"/>
              </w:rPr>
            </w:pPr>
          </w:p>
          <w:tbl>
            <w:tblPr>
              <w:tblStyle w:val="Table2"/>
              <w:tblW w:w="13207" w:type="dxa"/>
              <w:jc w:val="left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Look w:val="0400"/>
            </w:tblPr>
            <w:tblGrid>
              <w:gridCol w:w="13207"/>
            </w:tblGrid>
            <w:tr>
              <w:trPr>
                <w:cantSplit w:val="off"/>
                <w:tblHeader w:val="off"/>
              </w:trPr>
              <w:tc>
                <w:tcPr>
                  <w:cnfStyle w:val="000000100000"/>
                </w:tcPr>
                <w:p w14:paraId="0000001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  <w:rtl w:val="off"/>
                    </w:rPr>
                    <w:t xml:space="preserve">Digestion – Absorption (perméabilité intestinale, microbiote) : </w:t>
                  </w:r>
                </w:p>
                <w:p w14:paraId="00000011">
                  <w:pPr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14:paraId="00000012">
                  <w:pPr>
                    <w:rPr>
                      <w:b/>
                      <w:bCs/>
                      <w:i/>
                      <w:iCs/>
                      <w:color w:val="80350d"/>
                    </w:rPr>
                  </w:pPr>
                </w:p>
              </w:tc>
            </w:tr>
            <w:tr>
              <w:trPr>
                <w:cantSplit w:val="off"/>
                <w:tblHeader w:val="off"/>
              </w:trPr>
              <w:tc>
                <w:tcPr>
                  <w:cnfStyle w:val="000000010000"/>
                </w:tcPr>
                <w:p w14:paraId="00000013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  <w:rtl w:val="off"/>
                    </w:rPr>
                    <w:t>SI (Surveillance immunitaire) </w:t>
                  </w:r>
                  <w:r>
                    <w:rPr>
                      <w:b/>
                      <w:bCs/>
                      <w:i/>
                      <w:iCs/>
                      <w:color w:val="80350d"/>
                      <w:rtl w:val="off"/>
                    </w:rPr>
                    <w:t xml:space="preserve">: </w:t>
                  </w:r>
                </w:p>
                <w:p w14:paraId="00000014">
                  <w:pPr>
                    <w:rPr>
                      <w:sz w:val="20"/>
                      <w:szCs w:val="20"/>
                    </w:rPr>
                  </w:pPr>
                </w:p>
                <w:p w14:paraId="00000015">
                  <w:pPr>
                    <w:rPr>
                      <w:b/>
                      <w:bCs/>
                      <w:i/>
                      <w:iCs/>
                      <w:color w:val="80350d"/>
                      <w:sz w:val="20"/>
                      <w:szCs w:val="20"/>
                    </w:rPr>
                  </w:pPr>
                </w:p>
              </w:tc>
            </w:tr>
            <w:tr>
              <w:trPr>
                <w:cantSplit w:val="off"/>
                <w:tblHeader w:val="off"/>
              </w:trPr>
              <w:tc>
                <w:tcPr>
                  <w:cnfStyle w:val="000000100000"/>
                </w:tcPr>
                <w:p w14:paraId="00000016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  <w:rtl w:val="off"/>
                    </w:rPr>
                    <w:t>INF (Processus inflammatoire) </w:t>
                  </w:r>
                  <w:r>
                    <w:rPr>
                      <w:b/>
                      <w:bCs/>
                      <w:i/>
                      <w:iCs/>
                      <w:color w:val="e97132"/>
                      <w:sz w:val="18"/>
                      <w:szCs w:val="18"/>
                      <w:rtl w:val="off"/>
                    </w:rPr>
                    <w:t xml:space="preserve">: </w:t>
                  </w:r>
                </w:p>
                <w:p w14:paraId="00000017">
                  <w:pPr>
                    <w:rPr>
                      <w:sz w:val="20"/>
                      <w:szCs w:val="20"/>
                    </w:rPr>
                  </w:pPr>
                </w:p>
                <w:p w14:paraId="00000018">
                  <w:pPr>
                    <w:rPr>
                      <w:b/>
                      <w:bCs/>
                      <w:i/>
                      <w:iCs/>
                      <w:color w:val="80350d"/>
                      <w:sz w:val="18"/>
                      <w:szCs w:val="18"/>
                    </w:rPr>
                  </w:pPr>
                </w:p>
              </w:tc>
            </w:tr>
            <w:tr>
              <w:trPr>
                <w:cantSplit w:val="off"/>
                <w:tblHeader w:val="off"/>
              </w:trPr>
              <w:tc>
                <w:tcPr>
                  <w:cnfStyle w:val="000000010000"/>
                </w:tcPr>
                <w:p w14:paraId="00000019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  <w:rtl w:val="off"/>
                    </w:rPr>
                    <w:t>Régulation Neuro Hormonale) :</w:t>
                  </w:r>
                </w:p>
                <w:p w14:paraId="0000001A">
                  <w:pPr>
                    <w:rPr>
                      <w:sz w:val="20"/>
                      <w:szCs w:val="20"/>
                    </w:rPr>
                  </w:pPr>
                </w:p>
                <w:p w14:paraId="0000001B">
                  <w:pPr>
                    <w:rPr>
                      <w:b/>
                      <w:bCs/>
                      <w:i/>
                      <w:iCs/>
                      <w:color w:val="80350d"/>
                      <w:sz w:val="20"/>
                      <w:szCs w:val="20"/>
                    </w:rPr>
                  </w:pPr>
                </w:p>
              </w:tc>
            </w:tr>
          </w:tbl>
          <w:p w14:paraId="0000001C">
            <w:pPr>
              <w:rPr>
                <w:b/>
                <w:bCs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1D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  <w:rtl w:val="off"/>
              </w:rPr>
              <w:t>Evolution – Risque</w:t>
            </w:r>
          </w:p>
          <w:p w14:paraId="0000001E">
            <w:pPr>
              <w:rPr>
                <w:b/>
                <w:bCs/>
                <w:i/>
                <w:iCs/>
                <w:color w:val="156082"/>
              </w:rPr>
            </w:pPr>
            <w:r>
              <w:rPr>
                <w:b/>
                <w:bCs/>
                <w:i/>
                <w:iCs/>
                <w:color w:val="4ea72e"/>
                <w:rtl w:val="off"/>
              </w:rPr>
              <w:t>« Intégrité structurale »</w:t>
            </w:r>
          </w:p>
        </w:tc>
        <w:tc>
          <w:tcPr>
            <w:cnfStyle w:val="000000010000"/>
          </w:tcPr>
          <w:p w14:paraId="0000001F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fr-FR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♦ </w:t>
            </w:r>
            <w:r>
              <w:rPr>
                <w:rFonts w:ascii="Aptos" w:cs="Aptos" w:eastAsia="Aptos" w:hAnsi="Aptos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Parodontite</w:t>
            </w:r>
            <w:r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= inflammation des tissus de soutien de la dent provoquant une fonte de l’os dans laquelle la dent est implantée → </w:t>
            </w:r>
            <w:r>
              <w:rPr>
                <w:rFonts w:ascii="Aptos" w:cs="Aptos" w:eastAsia="Aptos" w:hAnsi="Aptos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Déchaussement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20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  <w:rtl w:val="off"/>
              </w:rPr>
              <w:t>Diagnostic</w:t>
            </w:r>
          </w:p>
        </w:tc>
        <w:tc>
          <w:tcPr>
            <w:cnfStyle w:val="000000100000"/>
          </w:tcPr>
          <w:p w14:paraId="00000021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left="113" w:right="0" w:firstLine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156082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22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  <w:rtl w:val="off"/>
              </w:rPr>
              <w:t>Causes</w:t>
            </w:r>
          </w:p>
          <w:p w14:paraId="00000023">
            <w:pPr>
              <w:rPr>
                <w:b/>
                <w:bCs/>
                <w:i/>
                <w:iCs/>
                <w:color w:val="4ea72e"/>
              </w:rPr>
            </w:pPr>
            <w:r>
              <w:rPr>
                <w:b/>
                <w:bCs/>
                <w:i/>
                <w:iCs/>
                <w:color w:val="4ea72e"/>
                <w:rtl w:val="off"/>
              </w:rPr>
              <w:t xml:space="preserve">« Facteurs FP (prédisposant) – </w:t>
            </w:r>
          </w:p>
          <w:p w14:paraId="00000024">
            <w:pPr>
              <w:rPr>
                <w:b/>
                <w:bCs/>
                <w:i/>
                <w:iCs/>
                <w:color w:val="80350d"/>
              </w:rPr>
            </w:pPr>
            <w:r>
              <w:rPr>
                <w:b/>
                <w:bCs/>
                <w:i/>
                <w:iCs/>
                <w:color w:val="4ea72e"/>
                <w:rtl w:val="off"/>
              </w:rPr>
              <w:t>FD (déclenchant) – FF  (favorisant) »</w:t>
            </w:r>
          </w:p>
        </w:tc>
        <w:tc>
          <w:tcPr>
            <w:cnfStyle w:val="000000010000"/>
          </w:tcPr>
          <w:p w14:paraId="00000025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♦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Terrain 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(si cela concerne des familles entières, c’est inscrit dans leur ADN </w:t>
            </w:r>
            <w:r>
              <w:rPr>
                <w:rFonts w:ascii="Arial Black" w:cs="Arial Black" w:eastAsiaTheme="minorAscii" w:hAnsi="Arial Black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→ 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il n’y a pas grand chose à 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faire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)</w:t>
            </w:r>
          </w:p>
          <w:p w14:paraId="00000026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Prise de certains médicaments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(antidépresseurs, anti-épileptiques)</w:t>
            </w:r>
          </w:p>
          <w:p w14:paraId="00000027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Carences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( en Vit C </w:t>
            </w:r>
            <w:r>
              <w:rPr>
                <w:rFonts w:ascii="Arial Black" w:cs="Arial Black" w:eastAsiaTheme="minorAscii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→ 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souvent lié au tabagisme)</w:t>
            </w:r>
          </w:p>
          <w:p w14:paraId="00000028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♦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Modification Hormonale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(lors de la grossesse notamment avec l’augmentation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de la progestérone)</w:t>
            </w:r>
          </w:p>
          <w:p w14:paraId="00000029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Mauvaise Hygiène buccale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2A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  <w:rtl w:val="off"/>
              </w:rPr>
              <w:t>Enquête</w:t>
            </w:r>
          </w:p>
          <w:p w14:paraId="0000002B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  <w:rtl w:val="off"/>
              </w:rPr>
              <w:t>Questions</w:t>
            </w:r>
          </w:p>
        </w:tc>
        <w:tc>
          <w:tcPr>
            <w:cnfStyle w:val="000000100000"/>
          </w:tcPr>
          <w:p w14:paraId="0000002C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Faites vous des détartrages régulièrement?</w:t>
            </w:r>
          </w:p>
          <w:p w14:paraId="0000002D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Etes vous la seule à avoir des gingivites dans votre famille?</w:t>
            </w:r>
          </w:p>
          <w:p w14:paraId="0000002E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Fumez-vous?</w:t>
            </w:r>
          </w:p>
          <w:p w14:paraId="0000002F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Etes-vous sous antidépresseurs ou sous anti-épileptique?</w:t>
            </w:r>
          </w:p>
          <w:p w14:paraId="00000030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Souffriez-vous déjà de gingivite avant votre grossesse?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31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  <w:rtl w:val="off"/>
              </w:rPr>
              <w:t>Bilans</w:t>
            </w:r>
          </w:p>
        </w:tc>
        <w:tc>
          <w:tcPr>
            <w:cnfStyle w:val="000000010000"/>
          </w:tcPr>
          <w:p w14:paraId="00000032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left="113" w:right="0" w:firstLine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33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  <w:rtl w:val="off"/>
              </w:rPr>
              <w:t>Allopathie préventive</w:t>
            </w:r>
          </w:p>
        </w:tc>
        <w:tc>
          <w:tcPr>
            <w:cnfStyle w:val="000000100000"/>
          </w:tcPr>
          <w:p w14:paraId="00000034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♦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Limiter l’accumulation de la plaque dentaire: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afin de prévenir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la parodontite</w:t>
            </w:r>
          </w:p>
          <w:p w14:paraId="00000035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Brossage des dents régulier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(2x/jour)</w:t>
            </w:r>
          </w:p>
          <w:p w14:paraId="00000036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Utilisation de fil dentaire</w:t>
            </w:r>
          </w:p>
          <w:p w14:paraId="00000037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Détartrage (2x/an)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38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  <w:rtl w:val="off"/>
              </w:rPr>
              <w:t>Naturopathie préventive</w:t>
            </w:r>
          </w:p>
        </w:tc>
        <w:tc>
          <w:tcPr>
            <w:cnfStyle w:val="000000010000"/>
          </w:tcPr>
          <w:p w14:paraId="00000039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♦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Limiter l’accumulation de la plaque dentaire: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afin de prévenir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la parodontite</w:t>
            </w:r>
          </w:p>
          <w:p w14:paraId="0000003A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♦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Traitement allopathique </w:t>
            </w:r>
          </w:p>
          <w:p w14:paraId="0000003B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Action sur le terrain 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(prévention de l’inflammation)</w:t>
            </w:r>
          </w:p>
          <w:p w14:paraId="0000003C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right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Si Tabagisme: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accompagnement à l’arrêt, conseils hygiéno-diététiques, complémentation en Vit C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.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3D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  <w:rtl w:val="off"/>
              </w:rPr>
              <w:t>Bilans/tests Naturopathiques</w:t>
            </w:r>
          </w:p>
        </w:tc>
        <w:tc>
          <w:tcPr>
            <w:cnfStyle w:val="000000100000"/>
          </w:tcPr>
          <w:p w14:paraId="0000003E">
            <w:pPr>
              <w:keepNext w:val="off"/>
              <w:keepLines w:val="off"/>
              <w:pageBreakBefore w:val="off"/>
              <w:widowControl w:val="on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beforeAutospacing="0" w:after="0" w:afterAutospacing="0" w:line="240" w:lineRule="auto"/>
              <w:ind w:left="113" w:right="0" w:firstLine="0"/>
              <w:jc w:val="left"/>
              <w:rPr>
                <w:rFonts w:ascii="Aptos" w:cs="Aptos" w:eastAsia="Aptos" w:hAnsi="Aptos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</w:tbl>
    <w:p w14:paraId="0000003F">
      <w:pPr>
        <w:jc w:val="center"/>
        <w:rPr>
          <w:b/>
          <w:bCs/>
          <w:color w:val="156082"/>
          <w:sz w:val="28"/>
          <w:szCs w:val="28"/>
        </w:rPr>
      </w:pPr>
      <w:r>
        <w:rPr>
          <w:b/>
          <w:bCs/>
          <w:color w:val="156082"/>
          <w:sz w:val="28"/>
          <w:szCs w:val="28"/>
          <w:rtl w:val="off"/>
        </w:rPr>
        <w:t>HYGIENE DE VIE</w:t>
      </w:r>
    </w:p>
    <w:p w14:paraId="00000040">
      <w:pPr>
        <w:jc w:val="center"/>
        <w:rPr>
          <w:b/>
          <w:bCs/>
          <w:color w:val="156082"/>
          <w:sz w:val="28"/>
          <w:szCs w:val="28"/>
        </w:rPr>
      </w:pPr>
    </w:p>
    <w:tbl>
      <w:tblPr>
        <w:tblStyle w:val="Table3"/>
        <w:tblW w:w="1569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2263"/>
        <w:gridCol w:w="13433"/>
      </w:tblGrid>
      <w:tr>
        <w:trPr>
          <w:cantSplit w:val="off"/>
          <w:tblHeader w:val="off"/>
        </w:trPr>
        <w:tc>
          <w:tcPr>
            <w:cnfStyle w:val="000000100000"/>
          </w:tcPr>
          <w:p w14:paraId="0000004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 xml:space="preserve">Conseils hygiéno-diététiques </w:t>
            </w:r>
          </w:p>
          <w:p w14:paraId="00000042">
            <w:pPr>
              <w:rPr>
                <w:b/>
                <w:bCs/>
                <w:i/>
                <w:iCs/>
                <w:color w:val="156082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f9ed5"/>
                <w:rtl w:val="off"/>
              </w:rPr>
              <w:t>DIET (Détoxification – Biotransformation)</w:t>
            </w:r>
          </w:p>
        </w:tc>
        <w:tc>
          <w:tcPr>
            <w:cnfStyle w:val="000000100000"/>
          </w:tcPr>
          <w:p w14:paraId="00000043">
            <w:pPr>
              <w:rPr>
                <w:sz w:val="20"/>
                <w:szCs w:val="20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♦ </w:t>
            </w:r>
            <w:r>
              <w:rPr>
                <w:sz w:val="20"/>
                <w:szCs w:val="20"/>
              </w:rPr>
              <w:t>Soulager les gencives</w:t>
            </w:r>
          </w:p>
          <w:p w14:paraId="00000044">
            <w:pPr>
              <w:rPr>
                <w:sz w:val="20"/>
                <w:szCs w:val="20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Limiter les saignements lors du brossage des dents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45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Conseils nutritionnels  (rééquilibrage, régimes, Superaliments, Huiles, Prds mer, outils – appareils…)</w:t>
            </w:r>
          </w:p>
          <w:p w14:paraId="00000046">
            <w:pPr>
              <w:rPr>
                <w:b/>
                <w:bCs/>
                <w:color w:val="156082"/>
              </w:rPr>
            </w:pPr>
          </w:p>
        </w:tc>
        <w:tc>
          <w:tcPr>
            <w:cnfStyle w:val="000000010000"/>
          </w:tcPr>
          <w:p w14:paraId="00000047">
            <w:pPr>
              <w:rPr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48">
            <w:pPr>
              <w:rPr>
                <w:b/>
                <w:bCs/>
                <w:i/>
                <w:iCs/>
                <w:color w:val="156082"/>
              </w:rPr>
            </w:pPr>
            <w:r>
              <w:rPr>
                <w:b/>
                <w:bCs/>
                <w:i/>
                <w:iCs/>
                <w:color w:val="0f9ed5"/>
                <w:rtl w:val="off"/>
              </w:rPr>
              <w:t>Détoxification – Biotransformation (DIET)</w:t>
            </w:r>
          </w:p>
        </w:tc>
        <w:tc>
          <w:tcPr>
            <w:cnfStyle w:val="000000100000"/>
          </w:tcPr>
          <w:p w14:paraId="00000049">
            <w:pPr>
              <w:rPr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4A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Activité physique</w:t>
            </w:r>
          </w:p>
        </w:tc>
        <w:tc>
          <w:tcPr>
            <w:cnfStyle w:val="000000010000"/>
          </w:tcPr>
          <w:p w14:paraId="0000004B">
            <w:pPr>
              <w:rPr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4C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i/>
                <w:iCs/>
                <w:color w:val="80350d"/>
                <w:rtl w:val="off"/>
              </w:rPr>
              <w:t>PSY</w:t>
            </w:r>
            <w:r>
              <w:rPr>
                <w:b/>
                <w:bCs/>
                <w:color w:val="156082"/>
                <w:rtl w:val="off"/>
              </w:rPr>
              <w:t xml:space="preserve"> - Hygiène psycho-émotionnelle</w:t>
            </w:r>
          </w:p>
        </w:tc>
        <w:tc>
          <w:tcPr>
            <w:cnfStyle w:val="000000100000"/>
          </w:tcPr>
          <w:p w14:paraId="0000004D">
            <w:pPr>
              <w:rPr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4E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Hydrologie</w:t>
            </w:r>
          </w:p>
        </w:tc>
        <w:tc>
          <w:tcPr>
            <w:cnfStyle w:val="000000010000"/>
          </w:tcPr>
          <w:p w14:paraId="0000004F">
            <w:pPr>
              <w:rPr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50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Phytologie</w:t>
            </w:r>
          </w:p>
        </w:tc>
        <w:tc>
          <w:tcPr>
            <w:cnfStyle w:val="000000100000"/>
          </w:tcPr>
          <w:p w14:paraId="00000051">
            <w:pPr>
              <w:rPr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52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Aromatologie</w:t>
            </w:r>
          </w:p>
        </w:tc>
        <w:tc>
          <w:tcPr>
            <w:cnfStyle w:val="000000010000"/>
          </w:tcPr>
          <w:p w14:paraId="00000053">
            <w:pPr>
              <w:rPr>
                <w:rFonts w:asciiTheme="minorAscii" w:cstheme="minorAscii" w:eastAsiaTheme="minorAscii" w:hAnsiTheme="minorAscii"/>
                <w:sz w:val="20"/>
                <w:szCs w:val="20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♦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nettoyage brosse à dents avec HE Tea tree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54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 xml:space="preserve">Gemmothérapie </w:t>
            </w:r>
          </w:p>
        </w:tc>
        <w:tc>
          <w:tcPr>
            <w:cnfStyle w:val="000000100000"/>
          </w:tcPr>
          <w:p w14:paraId="00000055">
            <w:pPr>
              <w:rPr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56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C.A</w:t>
            </w:r>
          </w:p>
        </w:tc>
        <w:tc>
          <w:tcPr>
            <w:cnfStyle w:val="000000010000"/>
          </w:tcPr>
          <w:p w14:paraId="00000057">
            <w:pPr>
              <w:rPr>
                <w:color w:val="ee0000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58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Pdrs de la mer</w:t>
            </w:r>
          </w:p>
        </w:tc>
        <w:tc>
          <w:tcPr>
            <w:cnfStyle w:val="000000100000"/>
          </w:tcPr>
          <w:p w14:paraId="00000059">
            <w:pPr>
              <w:rPr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5A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Plantes – champignons adaptogènes</w:t>
            </w:r>
          </w:p>
        </w:tc>
        <w:tc>
          <w:tcPr>
            <w:cnfStyle w:val="000000010000"/>
          </w:tcPr>
          <w:p w14:paraId="0000005B">
            <w:pPr>
              <w:rPr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</w:tcPr>
          <w:p w14:paraId="0000005C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Produits de la ruche</w:t>
            </w:r>
          </w:p>
        </w:tc>
        <w:tc>
          <w:tcPr>
            <w:cnfStyle w:val="000000100000"/>
          </w:tcPr>
          <w:p w14:paraId="0000005D">
            <w:pPr>
              <w:rPr>
                <w:sz w:val="20"/>
                <w:szCs w:val="20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♦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Dentifrice à base de propolis 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(Royal Dent</w:t>
            </w:r>
            <w:r>
              <w:rPr>
                <w:rFonts w:asciiTheme="minorAscii" w:cstheme="minorAscii" w:eastAsiaTheme="minorAscii" w:hAnsiTheme="minorAscii"/>
                <w:b w:val="off"/>
                <w:bCs w:val="off"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par ex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</w:tcPr>
          <w:p w14:paraId="0000005E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  <w:rtl w:val="off"/>
              </w:rPr>
              <w:t>Autres</w:t>
            </w:r>
          </w:p>
        </w:tc>
        <w:tc>
          <w:tcPr>
            <w:cnfStyle w:val="000000010000"/>
          </w:tcPr>
          <w:p w14:paraId="0000005F">
            <w:pPr>
              <w:rPr>
                <w:color w:val="000000"/>
                <w:sz w:val="20"/>
                <w:szCs w:val="20"/>
              </w:rPr>
            </w:pPr>
            <w:r>
              <w:rPr>
                <w:rFonts w:ascii="Arial Black" w:cs="Arial Black" w:eastAsia="Aptos" w:hAnsi="Arial Black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>♦</w:t>
            </w:r>
            <w:r>
              <w:rPr>
                <w:rFonts w:asciiTheme="minorAscii" w:cstheme="minorAscii" w:eastAsiaTheme="minorAscii" w:hAnsiTheme="minorAscii"/>
                <w:b/>
                <w:bCs/>
                <w:i w:val="off"/>
                <w:iCs w:val="off"/>
                <w:smallCaps w:val="off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  <w:t xml:space="preserve"> Bain de bouche avec Hydrolat de Laurier Noble</w:t>
            </w:r>
          </w:p>
        </w:tc>
      </w:tr>
    </w:tbl>
    <w:p w14:paraId="00000060"/>
    <w:p w14:paraId="00000061">
      <w:pPr>
        <w:jc w:val="center"/>
        <w:rPr>
          <w:b/>
          <w:bCs/>
          <w:color w:val="156082"/>
          <w:sz w:val="28"/>
          <w:szCs w:val="28"/>
        </w:rPr>
      </w:pPr>
    </w:p>
    <w:p w14:paraId="00000062"/>
    <w:p w14:paraId="00000063"/>
    <w:sectPr>
      <w:pgSz w:w="16840" w:h="11905" w:orient="landscape"/>
      <w:pgMar w:top="851" w:right="567" w:bottom="284" w:left="567" w:header="357" w:footer="941"/>
      <w:pgNumType w:start="1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Webdings">
    <w:charset w:val="02"/>
  </w:font>
  <w:font w:name="Arial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ptos" w:cs="Aptos" w:eastAsia="Aptos" w:hAnsi="Aptos"/>
        <w:sz w:val="22"/>
        <w:szCs w:val="22"/>
        <w:lang w:val="fr-FR"/>
      </w:rPr>
    </w:rPrDefault>
    <w:pPrDefault/>
  </w:docDefaults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104760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156082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156082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0a2f40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0a2f4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0a1d30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156082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156082" w:themeColor="accent1"/>
    </w:rPr>
  </w:style>
  <w:style w:type="character" w:styleId="SubtleReference">
    <w:name w:val="Subtle Reference"/>
    <w:uiPriority w:val="31"/>
    <w:qFormat w:val="on"/>
    <w:rPr>
      <w:smallCaps/>
      <w:color w:val="e97132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467886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0e2841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360" w:beforeAutospacing="0" w:after="80" w:afterAutospacing="0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before="160" w:beforeAutospacing="0" w:after="80" w:afterAutospacing="0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spacing w:before="160" w:beforeAutospacing="0" w:after="80" w:afterAutospacing="0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spacing w:before="80" w:beforeAutospacing="0" w:after="40" w:afterAutospacing="0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spacing w:before="80" w:beforeAutospacing="0" w:after="40" w:afterAutospacing="0"/>
    </w:pPr>
    <w:rPr>
      <w:color w:val="0f4761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spacing w:before="40" w:beforeAutospacing="0" w:afterAutospacing="0"/>
    </w:pPr>
    <w:rPr>
      <w:i/>
      <w:iCs/>
      <w:color w:val="595959"/>
    </w:rPr>
  </w:style>
  <w:style w:type="paragraph" w:styleId="Title">
    <w:name w:val="Title"/>
    <w:basedOn w:val="Normal"/>
    <w:next w:val="Normal"/>
    <w:uiPriority w:val="99"/>
    <w:pPr>
      <w:spacing w:beforeAutospacing="0" w:after="80" w:afterAutospacing="0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Titre7Car"/>
    <w:uiPriority w:val="9"/>
    <w:semiHidden w:val="on"/>
    <w:unhideWhenUsed w:val="on"/>
    <w:qFormat w:val="on"/>
    <w:pPr>
      <w:keepNext w:val="on"/>
      <w:keepLines w:val="on"/>
      <w:spacing w:before="40" w:beforeAutospacing="0" w:afterAutospacing="0"/>
    </w:pPr>
    <w:rPr>
      <w:rFonts w:cstheme="majorBidi" w:eastAsiaTheme="majorEastAsia"/>
      <w:color w:val="ffffff" w:themeColor="text1" w:themeTint="00"/>
    </w:rPr>
  </w:style>
  <w:style w:type="paragraph" w:styleId="Heading8">
    <w:name w:val="Heading 8"/>
    <w:basedOn w:val="Normal"/>
    <w:next w:val="Normal"/>
    <w:link w:val="Titre8Car"/>
    <w:uiPriority w:val="9"/>
    <w:semiHidden w:val="on"/>
    <w:unhideWhenUsed w:val="on"/>
    <w:qFormat w:val="on"/>
    <w:pPr>
      <w:keepNext w:val="on"/>
      <w:keepLines w:val="on"/>
    </w:pPr>
    <w:rPr>
      <w:rFonts w:cstheme="majorBidi" w:eastAsiaTheme="majorEastAsia"/>
      <w:i/>
      <w:iCs/>
      <w:color w:val="ffffff" w:themeColor="text1" w:themeTint="00"/>
    </w:rPr>
  </w:style>
  <w:style w:type="paragraph" w:styleId="Heading9">
    <w:name w:val="Heading 9"/>
    <w:basedOn w:val="Normal"/>
    <w:next w:val="Normal"/>
    <w:link w:val="Titre9Car"/>
    <w:uiPriority w:val="9"/>
    <w:semiHidden w:val="on"/>
    <w:unhideWhenUsed w:val="on"/>
    <w:qFormat w:val="on"/>
    <w:pPr>
      <w:keepNext w:val="on"/>
      <w:keepLines w:val="on"/>
    </w:pPr>
    <w:rPr>
      <w:rFonts w:cstheme="majorBidi" w:eastAsiaTheme="majorEastAsia"/>
      <w:color w:val="ffffff" w:themeColor="text1" w:themeTint="0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character" w:customStyle="1" w:styleId="Titre1Car">
    <w:name w:val="Titre 1 Car"/>
    <w:basedOn w:val="DefaultParagraphFont"/>
    <w:uiPriority w:val="9"/>
    <w:rPr>
      <w:rFonts w:asciiTheme="majorHAnsi" w:cstheme="majorBidi" w:eastAsiaTheme="majorEastAsia" w:hAnsiTheme="majorHAnsi"/>
      <w:color w:val="000000" w:themeColor="accent1" w:themeShade="00"/>
      <w:sz w:val="40"/>
      <w:szCs w:val="40"/>
    </w:rPr>
  </w:style>
  <w:style w:type="character" w:customStyle="1" w:styleId="Titre2Car">
    <w:name w:val="Titre 2 Car"/>
    <w:basedOn w:val="DefaultParagraphFont"/>
    <w:uiPriority w:val="9"/>
    <w:semiHidden w:val="on"/>
    <w:rPr>
      <w:rFonts w:asciiTheme="majorHAnsi" w:cstheme="majorBidi" w:eastAsiaTheme="majorEastAsia" w:hAnsiTheme="majorHAnsi"/>
      <w:color w:val="000000" w:themeColor="accent1" w:themeShade="00"/>
      <w:sz w:val="32"/>
      <w:szCs w:val="32"/>
    </w:rPr>
  </w:style>
  <w:style w:type="character" w:customStyle="1" w:styleId="Titre3Car">
    <w:name w:val="Titre 3 Car"/>
    <w:basedOn w:val="DefaultParagraphFont"/>
    <w:uiPriority w:val="9"/>
    <w:semiHidden w:val="on"/>
    <w:rPr>
      <w:rFonts w:cstheme="majorBidi" w:eastAsiaTheme="majorEastAsia"/>
      <w:color w:val="000000" w:themeColor="accent1" w:themeShade="00"/>
      <w:sz w:val="28"/>
      <w:szCs w:val="28"/>
    </w:rPr>
  </w:style>
  <w:style w:type="character" w:customStyle="1" w:styleId="Titre4Car">
    <w:name w:val="Titre 4 Car"/>
    <w:basedOn w:val="DefaultParagraphFont"/>
    <w:uiPriority w:val="9"/>
    <w:semiHidden w:val="on"/>
    <w:rPr>
      <w:rFonts w:cstheme="majorBidi" w:eastAsiaTheme="majorEastAsia"/>
      <w:i/>
      <w:iCs/>
      <w:color w:val="000000" w:themeColor="accent1" w:themeShade="00"/>
    </w:rPr>
  </w:style>
  <w:style w:type="character" w:customStyle="1" w:styleId="Titre5Car">
    <w:name w:val="Titre 5 Car"/>
    <w:basedOn w:val="DefaultParagraphFont"/>
    <w:uiPriority w:val="9"/>
    <w:semiHidden w:val="on"/>
    <w:rPr>
      <w:rFonts w:cstheme="majorBidi" w:eastAsiaTheme="majorEastAsia"/>
      <w:color w:val="000000" w:themeColor="accent1" w:themeShade="00"/>
    </w:rPr>
  </w:style>
  <w:style w:type="character" w:customStyle="1" w:styleId="Titre6Car">
    <w:name w:val="Titre 6 Car"/>
    <w:basedOn w:val="DefaultParagraphFont"/>
    <w:uiPriority w:val="9"/>
    <w:semiHidden w:val="on"/>
    <w:rPr>
      <w:rFonts w:cstheme="majorBidi" w:eastAsiaTheme="majorEastAsia"/>
      <w:i/>
      <w:iCs/>
      <w:color w:val="ffffff" w:themeColor="text1" w:themeTint="00"/>
    </w:rPr>
  </w:style>
  <w:style w:type="character" w:customStyle="1" w:styleId="Titre7Car">
    <w:name w:val="Titre 7 Car"/>
    <w:basedOn w:val="DefaultParagraphFont"/>
    <w:link w:val="Heading7"/>
    <w:uiPriority w:val="9"/>
    <w:semiHidden w:val="on"/>
    <w:rPr>
      <w:rFonts w:cstheme="majorBidi" w:eastAsiaTheme="majorEastAsia"/>
      <w:color w:val="ffffff" w:themeColor="text1" w:themeTint="00"/>
    </w:rPr>
  </w:style>
  <w:style w:type="character" w:customStyle="1" w:styleId="Titre8Car">
    <w:name w:val="Titre 8 Car"/>
    <w:basedOn w:val="DefaultParagraphFont"/>
    <w:link w:val="Heading8"/>
    <w:uiPriority w:val="9"/>
    <w:semiHidden w:val="on"/>
    <w:rPr>
      <w:rFonts w:cstheme="majorBidi" w:eastAsiaTheme="majorEastAsia"/>
      <w:i/>
      <w:iCs/>
      <w:color w:val="ffffff" w:themeColor="text1" w:themeTint="00"/>
    </w:rPr>
  </w:style>
  <w:style w:type="character" w:customStyle="1" w:styleId="Titre9Car">
    <w:name w:val="Titre 9 Car"/>
    <w:basedOn w:val="DefaultParagraphFont"/>
    <w:link w:val="Heading9"/>
    <w:uiPriority w:val="9"/>
    <w:semiHidden w:val="on"/>
    <w:rPr>
      <w:rFonts w:cstheme="majorBidi" w:eastAsiaTheme="majorEastAsia"/>
      <w:color w:val="ffffff" w:themeColor="text1" w:themeTint="00"/>
    </w:rPr>
  </w:style>
  <w:style w:type="character" w:customStyle="1" w:styleId="TitreCar">
    <w:name w:val="Titre Car"/>
    <w:basedOn w:val="DefaultParagraphFont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Sous-titreCar">
    <w:name w:val="Sous-titre Car"/>
    <w:basedOn w:val="DefaultParagraphFont"/>
    <w:uiPriority w:val="11"/>
    <w:rPr>
      <w:rFonts w:cstheme="majorBidi" w:eastAsiaTheme="majorEastAsia"/>
      <w:color w:val="ffffff" w:themeColor="text1" w:themeTint="00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 w:val="on"/>
    <w:pPr>
      <w:spacing w:before="160" w:beforeAutospacing="0" w:after="160" w:afterAutospacing="0"/>
      <w:jc w:val="center"/>
    </w:pPr>
    <w:rPr>
      <w:i/>
      <w:iCs/>
      <w:color w:val="ffffff" w:themeColor="text1" w:themeTint="00"/>
    </w:rPr>
  </w:style>
  <w:style w:type="character" w:customStyle="1" w:styleId="CitationCar">
    <w:name w:val="Citation Car"/>
    <w:basedOn w:val="DefaultParagraphFont"/>
    <w:link w:val="Quote"/>
    <w:uiPriority w:val="29"/>
    <w:rPr>
      <w:i/>
      <w:iCs/>
      <w:color w:val="ffffff" w:themeColor="text1" w:themeTint="00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000000" w:themeColor="accent1" w:themeShade="00"/>
    </w:rPr>
  </w:style>
  <w:style w:type="paragraph" w:styleId="IntenseQuote">
    <w:name w:val="Intense Quote"/>
    <w:basedOn w:val="Normal"/>
    <w:next w:val="Normal"/>
    <w:link w:val="CitationintenseCar"/>
    <w:uiPriority w:val="30"/>
    <w:qFormat w:val="on"/>
    <w:pPr>
      <w:pBdr>
        <w:top w:val="single" w:color="000000" w:themeColor="accent1" w:themeShade="00" w:sz="4" w:space="10"/>
        <w:bottom w:val="single" w:color="000000" w:themeColor="accent1" w:themeShade="00" w:sz="4" w:space="10"/>
      </w:pBdr>
      <w:spacing w:before="360" w:beforeAutospacing="0" w:after="360" w:afterAutospacing="0"/>
      <w:ind w:left="864" w:right="864"/>
      <w:jc w:val="center"/>
    </w:pPr>
    <w:rPr>
      <w:i/>
      <w:iCs/>
      <w:color w:val="000000" w:themeColor="accent1" w:themeShade="00"/>
    </w:rPr>
  </w:style>
  <w:style w:type="character" w:customStyle="1" w:styleId="CitationintenseCar">
    <w:name w:val="Citation intense Car"/>
    <w:basedOn w:val="DefaultParagraphFont"/>
    <w:link w:val="IntenseQuote"/>
    <w:uiPriority w:val="30"/>
    <w:rPr>
      <w:i/>
      <w:iCs/>
      <w:color w:val="000000" w:themeColor="accent1" w:themeShade="00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000000" w:themeColor="accent1" w:themeShade="00"/>
      <w:spacing w:val="5"/>
    </w:rPr>
  </w:style>
  <w:style w:type="table" w:styleId="TableGrid">
    <w:name w:val="Table Grid"/>
    <w:basedOn w:val="NormalTable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uiPriority w:val="99"/>
    <w:pPr>
      <w:spacing w:beforeAutospacing="0" w:after="160" w:afterAutospacing="0"/>
    </w:pPr>
    <w:rPr>
      <w:color w:val="595959"/>
      <w:sz w:val="28"/>
      <w:szCs w:val="28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paE3aStx2g8cmwP0ILnC3gpGrQ==">CgMxLjAyDmguYnBhMmdxeTBxamc3OAByITFhUExtUmJ1TGUzLVlHTE1TQV91VmRKZmFCaERIdGtZRw==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Valérie BOURG</dc:creator>
  <cp:lastModifiedBy>Sophie</cp:lastModifiedBy>
</cp:coreProperties>
</file>