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0"/>
          <w:trHeight w:val="793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e97132"/>
                <w:sz w:val="32"/>
                <w:szCs w:val="32"/>
              </w:rPr>
            </w:pPr>
            <w:bookmarkStart w:colFirst="0" w:colLast="0" w:name="_heading=h.jffsfn4x2rdj" w:id="0"/>
            <w:bookmarkEnd w:id="0"/>
            <w:r w:rsidDel="00000000" w:rsidR="00000000" w:rsidRPr="00000000">
              <w:rPr>
                <w:b w:val="1"/>
                <w:bCs w:val="1"/>
                <w:color w:val="e97132"/>
                <w:sz w:val="32"/>
                <w:szCs w:val="32"/>
                <w:rtl w:val="0"/>
              </w:rPr>
              <w:t xml:space="preserve">Reflux gastro-oesophagien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e971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e97132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97132"/>
                <w:sz w:val="28"/>
                <w:szCs w:val="28"/>
                <w:rtl w:val="0"/>
              </w:rPr>
              <w:t xml:space="preserve">RGO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e9713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lie dans les 2 sens</w:t>
            </w: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Régurgitation contenue acide de l’estomac dans l’œsophage</w:t>
            </w: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e9713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Symptômes : </w:t>
            </w:r>
            <w:r w:rsidDel="00000000" w:rsidR="00000000" w:rsidRPr="00000000">
              <w:rPr>
                <w:b w:val="1"/>
                <w:bCs w:val="1"/>
                <w:color w:val="e97132"/>
                <w:sz w:val="20"/>
                <w:szCs w:val="20"/>
                <w:rtl w:val="0"/>
              </w:rPr>
              <w:t xml:space="preserve">Sensation de brûlure au creux de l’estomac au sternum, survenant souvent après les repas.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</w:t>
              <w:tab/>
              <w:t xml:space="preserve">Estomac : aliments poursuivent leur dégradation grâce à la digestion chimique (aliments broyés, malaxés, brassés) et la digestion mécanique</w:t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</w:t>
              <w:tab/>
              <w:t xml:space="preserve">Digestion chimique : pepsinogène transformé en pepsine sous l’action de l’HCL qui entame le processus de digestion des protéines.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               Diverses sécrétions ont lieu au niveau de l’estomac 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</w:t>
              <w:tab/>
              <w:t xml:space="preserve">Sécrétion de mucus : Permet de protéger la muqueuse gastrique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</w:t>
              <w:tab/>
              <w:t xml:space="preserve">Sécrétion d’HCl : L’HCl a une fonction bactéricide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</w:t>
              <w:tab/>
              <w:t xml:space="preserve">Sécrétion du facteur intrinsèque : Permet l’absorption de la vitamine B12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</w:t>
              <w:tab/>
              <w:t xml:space="preserve">Sécrétion de gastrine : Permet la régulation de la sécrétion acide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e97132"/>
              </w:rPr>
            </w:pP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Liens systèmes :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227329</wp:posOffset>
                  </wp:positionH>
                  <wp:positionV relativeFrom="paragraph">
                    <wp:posOffset>207010</wp:posOffset>
                  </wp:positionV>
                  <wp:extent cx="3905250" cy="1758950"/>
                  <wp:effectExtent b="0" l="0" r="0" t="0"/>
                  <wp:wrapTopAndBottom distB="0" distT="0"/>
                  <wp:docPr id="168223517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175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4272279</wp:posOffset>
                  </wp:positionH>
                  <wp:positionV relativeFrom="paragraph">
                    <wp:posOffset>207010</wp:posOffset>
                  </wp:positionV>
                  <wp:extent cx="3987800" cy="1758950"/>
                  <wp:effectExtent b="0" l="0" r="0" t="0"/>
                  <wp:wrapTopAndBottom distB="0" distT="0"/>
                  <wp:docPr id="168223517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175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e9713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i w:val="1"/>
                <w:iCs w:val="1"/>
                <w:color w:val="80350d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2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207"/>
              <w:tblGridChange w:id="0">
                <w:tblGrid>
                  <w:gridCol w:w="132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Digestion – Absorption (perméabilité intestinale, microbiote) : </w:t>
                  </w:r>
                </w:p>
                <w:p w:rsidR="00000000" w:rsidDel="00000000" w:rsidP="00000000" w:rsidRDefault="00000000" w:rsidRPr="00000000" w14:paraId="00000023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6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SI (Surveillance immunitaire) : </w:t>
                  </w:r>
                </w:p>
                <w:p w:rsidR="00000000" w:rsidDel="00000000" w:rsidP="00000000" w:rsidRDefault="00000000" w:rsidRPr="00000000" w14:paraId="00000027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INF (Processus inflammatoire) 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sz w:val="18"/>
                      <w:szCs w:val="18"/>
                      <w:rtl w:val="0"/>
                    </w:rPr>
                    <w:t xml:space="preserve">: </w:t>
                  </w:r>
                </w:p>
                <w:p w:rsidR="00000000" w:rsidDel="00000000" w:rsidP="00000000" w:rsidRDefault="00000000" w:rsidRPr="00000000" w14:paraId="0000002B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RNH (Régulation Neuro Hormonale) :</w:t>
                  </w:r>
                </w:p>
                <w:p w:rsidR="00000000" w:rsidDel="00000000" w:rsidP="00000000" w:rsidRDefault="00000000" w:rsidRPr="00000000" w14:paraId="0000002F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Evolution – Risque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i w:val="1"/>
                <w:i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« Intégrité structurale 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Œsophagite Risque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d’endo-Brachyoesophage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Diagnostic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Clinique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Fibroscopique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si besoin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15608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Causes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i w:val="1"/>
                <w:i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« Facteurs P – D – F 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Alimentation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inadaptée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Défaut de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mastication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Insuffisance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enzymes, 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17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Stress chronique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17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Relâchement tissus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17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Hernie hiatale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17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Hypochlorhydrie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Enquête</w:t>
            </w:r>
          </w:p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Temps de manger ?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Lien entre vos symptômes et une situation de stress ?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Brûlure dans l’estomac ou uniquement du reflux ?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Réalisation  fibroscopie ?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Prescription médicales d’un traitement pour votre reflux (IPP) ?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Déclenchement symptômes avec des aliments spécifiques ? (FODMAPS, aliments irritants- piment, alcool, café) 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Reflux plutôt avant ou après le repas ?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Bilans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Fut 2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évaluation mucus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Acides biliaires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évaluation 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Allopathie préventive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Soulager brûlure épigastriques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abaisser acidité estomac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Protection muqueuse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Conseils hygiéno-diététiques + pansements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– Médicaments anti-acides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(IPP Inhibiteur Pompe Protons)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échec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chirurgie (valve anti-reflux « œsophage – estomac)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Naturopathie préventive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Origine 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Rééquilibrage terrain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correction erreurs hygiène de vie, soutien digestion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Voir alimentation et mastication, si insuffisante :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correction, amélioration :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→ Alimentation dissociée et/ou pauvre FODMAPS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→ manger lentement, loin du coucher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→ coucher :  tête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surélevée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Bilans/tests Naturopathiques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hanging="17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Hypo ou hyperchlorhydrie :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Test au bicarbonate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soude. Bicarbonate + HCL (estomac) = CO2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→ lever – estomac vide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1/4 de c-à-café de bicarbonate de s. ds verre d'eau ;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Boire démarrer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chronomètre : Arrêter 1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ère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éructation,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noter le temps écoulé.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Avant 1 min  : Hyperchlorhydrie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- 1 et 2 min 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Pas de déséquilibre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Après 2 min 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Hypochlorhydrie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probable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Après 5 min : Hypochlorhydrie quasi certaine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b w:val="1"/>
          <w:bCs w:val="1"/>
          <w:color w:val="156082"/>
          <w:sz w:val="28"/>
          <w:szCs w:val="28"/>
          <w:rtl w:val="0"/>
        </w:rPr>
        <w:t xml:space="preserve">HYGIENE DE VIE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8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gridCol w:w="12724"/>
        <w:tblGridChange w:id="0">
          <w:tblGrid>
            <w:gridCol w:w="2263"/>
            <w:gridCol w:w="13433"/>
            <w:gridCol w:w="12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Conseils hygiéno-diététiques </w:t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  <w:i w:val="1"/>
                <w:iCs w:val="1"/>
                <w:color w:val="15608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c94d8"/>
                <w:rtl w:val="0"/>
              </w:rPr>
              <w:t xml:space="preserve">DIET (Détoxification – Biotransformation)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 hypochlorhydrie (douleurs après repas) : pourquoi ? augmenter sécrétion HCL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(sous IPP favorisat° hypochlorhydries) : proposer tests bicarbonate, analyses médicales, exploration (médecin).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Boire moins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 cours des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(dilution sécrétions gastriques)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protection muqueuse.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 hyperchlorhydrie (douleurs avant repas) : Pourquoi ? diminuer la production HCL avant les repas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(sous IPP diminut° hyperchlorhydrie) </w:t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 insuffisance enzymatique-biliaire 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relancer les fonctions pour soutenir la digestion (plantes, CA)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Conseils nutritionnels  (rééquilibrage, régimes, Superaliments, Huiles, Prds mer, outils – appareils…)</w:t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Hypo 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boire moins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Hyper : jus de pomme de terre</w:t>
            </w:r>
          </w:p>
          <w:p w:rsidR="00000000" w:rsidDel="00000000" w:rsidP="00000000" w:rsidRDefault="00000000" w:rsidRPr="00000000" w14:paraId="00000074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Régime FODMAPS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(rajouter : expliquer et ex tableau voir crs ou autre 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Propositions assiettes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(voir crs et autres)</w:t>
            </w:r>
          </w:p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 déminéralisation : proposer des aliments riches en minéraux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 algues, cru, herbes aromatiques, plasma de Quinton…)</w:t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  <w:i w:val="1"/>
                <w:i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c94d8"/>
                <w:rtl w:val="0"/>
              </w:rPr>
              <w:t xml:space="preserve">Détoxification – Biotransformation (DIET)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Activité physique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c94d8"/>
                <w:rtl w:val="0"/>
              </w:rPr>
              <w:t xml:space="preserve">PSY</w:t>
            </w: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 - Hygiène psycho-émotionnelle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 lien direct RGO/Stress (situations) : Limiter le stress 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techniques gestion du stress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Hydrologie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Phytologie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Insuffisance enzymatique : Plantes amères 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gentiane, artichaut, radis noir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🡩 sécrétions sucs digestif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Aromatologie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Gemmothérapie 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Bourgeon de figuier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(draineur estomac, régulateur HCL, cicatrisant)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C.A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 pas IPP 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complément d’HCL chez Physiomance par ex   </w:t>
            </w:r>
            <w:r w:rsidDel="00000000" w:rsidR="00000000" w:rsidRPr="00000000">
              <w:rPr>
                <w:b w:val="1"/>
                <w:bCs w:val="1"/>
                <w:color w:val="ee0000"/>
                <w:sz w:val="20"/>
                <w:szCs w:val="20"/>
                <w:rtl w:val="0"/>
              </w:rPr>
              <w:t xml:space="preserve"> cas d’ulcère</w:t>
            </w:r>
          </w:p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Enzymes digestives : Bromélaïne, papaïne, pepsine, amylase… chez Santarel « Enzymarel » ; Biophenix « Enzymes » , Metagenics « Enzygigest »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voir fiche C.A)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Pdrs de la mer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Plantes – champignons adaptogènes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Produits de la ruche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Autres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Argile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voie orale     </w:t>
            </w:r>
            <w:r w:rsidDel="00000000" w:rsidR="00000000" w:rsidRPr="00000000">
              <w:rPr>
                <w:b w:val="1"/>
                <w:bCs w:val="1"/>
                <w:color w:val="ee0000"/>
                <w:sz w:val="20"/>
                <w:szCs w:val="20"/>
                <w:rtl w:val="0"/>
              </w:rPr>
              <w:t xml:space="preserve">!! constipation !!  -             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⬧ Aloe vera voie orale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b w:val="1"/>
                <w:b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5" w:w="16840" w:orient="landscape"/>
      <w:pgMar w:bottom="284" w:top="851" w:left="567" w:right="567" w:header="357" w:footer="94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⬧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B94F7E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B94F7E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B94F7E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B94F7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B94F7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B94F7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B94F7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B94F7E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B94F7E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B94F7E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B94F7E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B94F7E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B94F7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B94F7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B94F7E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B94F7E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B94F7E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B94F7E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B94F7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B94F7E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B94F7E"/>
    <w:rPr>
      <w:b w:val="1"/>
      <w:bCs w:val="1"/>
      <w:smallCaps w:val="1"/>
      <w:color w:val="0f4761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B94F7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auGrille1Clair-Accentuation2">
    <w:name w:val="Grid Table 1 Light Accent 2"/>
    <w:basedOn w:val="TableauNormal"/>
    <w:uiPriority w:val="46"/>
    <w:rsid w:val="00B94F7E"/>
    <w:tblPr>
      <w:tblStyleRowBandSize w:val="1"/>
      <w:tblStyleColBandSize w:val="1"/>
      <w:tblBorders>
        <w:top w:color="f6c5ac" w:space="0" w:sz="4" w:themeColor="accent2" w:themeTint="000066" w:val="single"/>
        <w:left w:color="f6c5ac" w:space="0" w:sz="4" w:themeColor="accent2" w:themeTint="000066" w:val="single"/>
        <w:bottom w:color="f6c5ac" w:space="0" w:sz="4" w:themeColor="accent2" w:themeTint="000066" w:val="single"/>
        <w:right w:color="f6c5ac" w:space="0" w:sz="4" w:themeColor="accent2" w:themeTint="000066" w:val="single"/>
        <w:insideH w:color="f6c5ac" w:space="0" w:sz="4" w:themeColor="accent2" w:themeTint="000066" w:val="single"/>
        <w:insideV w:color="f6c5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1a9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1a9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ausimple2">
    <w:name w:val="Plain Table 2"/>
    <w:basedOn w:val="TableauNormal"/>
    <w:uiPriority w:val="42"/>
    <w:rsid w:val="00B94F7E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faTGGNQAvOact3PTXori7X4/w==">CgMxLjAyDmguamZmc2ZuNHgycmRqOAByITFSb25KNlBwWjVDdThvNEtZb0tqQVhLVmYyMUlhbWR6WA==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2026-01-16T13:54:00Z</dcterms:created>
  <dc:creator>Valérie BOURG</dc:creator>
</cp:coreProperties>
</file>