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55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bookmarkStart w:colFirst="0" w:colLast="0" w:name="_bpa2gqy0qjg7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77206e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32"/>
                <w:szCs w:val="32"/>
                <w:rtl w:val="0"/>
              </w:rPr>
              <w:t xml:space="preserve">SII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77206e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32"/>
                <w:szCs w:val="32"/>
                <w:rtl w:val="0"/>
              </w:rPr>
              <w:t xml:space="preserve">SYNDROME DE L’INTESTIN IRRITABLE</w:t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8.00000000000006" w:lineRule="auto"/>
              <w:rPr>
                <w:b w:val="1"/>
                <w:bCs w:val="1"/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Définition 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Trouble fonctionnel intestinal de forte prévalence (11% de la population mondiale)</w:t>
            </w:r>
          </w:p>
          <w:p w:rsidR="00000000" w:rsidDel="00000000" w:rsidP="00000000" w:rsidRDefault="00000000" w:rsidRPr="00000000" w14:paraId="0000000A">
            <w:pPr>
              <w:spacing w:line="278.00000000000006" w:lineRule="auto"/>
              <w:rPr>
                <w:b w:val="1"/>
                <w:bCs w:val="1"/>
                <w:color w:val="e97132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Symptômes 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68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 du transit (constipation, diarrhée ou mixte)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68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Douleurs abdominales fréquentes, spasme lié à une hypersensibilité viscérale</w:t>
            </w:r>
          </w:p>
          <w:p w:rsidR="00000000" w:rsidDel="00000000" w:rsidP="00000000" w:rsidRDefault="00000000" w:rsidRPr="00000000" w14:paraId="0000000D">
            <w:pPr>
              <w:rPr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Liens systèmes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Etiologie multifactorielle caractérisé par axe microbiote-intestin-cerveau dysfonctionnel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3007360</wp:posOffset>
                        </wp:positionH>
                        <wp:positionV relativeFrom="paragraph">
                          <wp:posOffset>0</wp:posOffset>
                        </wp:positionV>
                        <wp:extent cx="4989195" cy="3558540"/>
                        <wp:effectExtent b="0" l="0" r="0" t="0"/>
                        <wp:wrapSquare wrapText="bothSides" distB="0" distT="0" distL="114300" distR="114300"/>
                        <wp:docPr descr="Une image contenant texte, diagramme, ligne, triangle&#10;&#10;Le contenu généré par l’IA peut être incorrect."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Une image contenant texte, diagramme, ligne, triangle&#10;&#10;Le contenu généré par l’IA peut être incorrect."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9195" cy="355854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10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pacing w:line="278.00000000000006" w:lineRule="auto"/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 Trouble du transit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(constipation, diarrhée ou mixte) </w:t>
                  </w:r>
                </w:p>
                <w:p w:rsidR="00000000" w:rsidDel="00000000" w:rsidP="00000000" w:rsidRDefault="00000000" w:rsidRPr="00000000" w14:paraId="00000012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 Dysbiose intestinale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(avec multiplication de germes pathogènes)</w:t>
                  </w:r>
                </w:p>
                <w:p w:rsidR="00000000" w:rsidDel="00000000" w:rsidP="00000000" w:rsidRDefault="00000000" w:rsidRPr="00000000" w14:paraId="00000014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-Altération de la barrière intestinale 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hyperperméabilité</w:t>
                  </w:r>
                </w:p>
                <w:p w:rsidR="00000000" w:rsidDel="00000000" w:rsidP="00000000" w:rsidRDefault="00000000" w:rsidRPr="00000000" w14:paraId="00000015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-Inflammation de bas grade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de la muqueuse intestinale</w:t>
                  </w:r>
                </w:p>
                <w:p w:rsidR="00000000" w:rsidDel="00000000" w:rsidP="00000000" w:rsidRDefault="00000000" w:rsidRPr="00000000" w14:paraId="00000016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-Candidose intestinale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chronique</w:t>
                  </w:r>
                </w:p>
                <w:p w:rsidR="00000000" w:rsidDel="00000000" w:rsidP="00000000" w:rsidRDefault="00000000" w:rsidRPr="00000000" w14:paraId="00000017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line="278.00000000000006" w:lineRule="auto"/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centraux :  </w:t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Hypersensibilité viscérale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(Région dorsale du cortex cingulaire antérieure plus activée chez les patients SII)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rtl w:val="0"/>
                    </w:rPr>
                    <w:t xml:space="preserve">: inflammation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Système immunitaire perturbé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avec apparition d’infections à répétition et/ou d’intolérances alimentaires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périphériques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57b6e"/>
                      <w:rtl w:val="0"/>
                    </w:rPr>
                    <w:t xml:space="preserve">Activation de l’immunité de la muqueuse digestive</w:t>
                  </w:r>
                  <w:r w:rsidDel="00000000" w:rsidR="00000000" w:rsidRPr="00000000">
                    <w:rPr>
                      <w:rFonts w:ascii="Architects Daughter" w:cs="Architects Daughter" w:eastAsia="Architects Daughter" w:hAnsi="Architects Daughter"/>
                      <w:b w:val="1"/>
                      <w:bCs w:val="1"/>
                      <w:color w:val="357b6e"/>
                      <w:sz w:val="32"/>
                      <w:szCs w:val="3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0f4761"/>
                      <w:rtl w:val="0"/>
                    </w:rPr>
                    <w:t xml:space="preserve">=&gt; inflammation de bas grade avec augmentation 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des marqueurs immunitaires du nombre de mastocytes, des cellules entérochromaffines et des lymphocytes intra-épithéliaux, des cytokines pro-inflammatoires.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line="278.00000000000006" w:lineRule="auto"/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centraux :  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Réponse altérée du système nerveux autonome( réponse neuroendocrine)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=&gt; Augmentation de l'activité sympathique et diminution de l'activité parasympathique chez les patients SII vs les sujets sains.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77206e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Réponse exacerbée de l'axe hypothalamo-</w:t>
                  </w:r>
                  <w:r w:rsidDel="00000000" w:rsidR="00000000" w:rsidRPr="00000000">
                    <w:rPr>
                      <w:b w:val="1"/>
                      <w:bCs w:val="1"/>
                      <w:color w:val="357b6e"/>
                      <w:rtl w:val="0"/>
                    </w:rPr>
                    <w:t xml:space="preserve">hypophyso surrénalien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(CRH) 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=&gt; influencé par le stress chronique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78.00000000000006" w:lineRule="auto"/>
                    <w:ind w:left="36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77206e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f476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u w:val="single"/>
                <w:rtl w:val="0"/>
              </w:rPr>
              <w:t xml:space="preserve">Mécanismes physiopathologiques périphériques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Intégrité de la barrière épithéliale intestinale =&gt;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Augmentation de la perméabilité épithéliale intestinale + Présence de cystéines protéases, enzymes qui vont grignoter les « agrafes »( claudine, occludine, zonuline ) au niveau des jonction serrées 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Microbiote intestinal altéré =&gt;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une modification des taux AGCC, diminution du taux de butyrate, augmentation des Ruminococcus, et Surexpression des TLRs sur les mastocytes producteurs.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Coloscopie-</w:t>
            </w:r>
            <w:r w:rsidDel="00000000" w:rsidR="00000000" w:rsidRPr="00000000">
              <w:rPr>
                <w:color w:val="0f476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Dosage de la zonuline</w:t>
            </w:r>
            <w:r w:rsidDel="00000000" w:rsidR="00000000" w:rsidRPr="00000000">
              <w:rPr>
                <w:color w:val="0f4761"/>
                <w:rtl w:val="0"/>
              </w:rPr>
              <w:t xml:space="preserve"> pour définir si problématique au niveau des jonctions serrées -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Dosage des IGG</w:t>
            </w:r>
            <w:r w:rsidDel="00000000" w:rsidR="00000000" w:rsidRPr="00000000">
              <w:rPr>
                <w:color w:val="0f4761"/>
                <w:rtl w:val="0"/>
              </w:rPr>
              <w:t xml:space="preserve"> du système immunitaire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i w:val="1"/>
                <w:iCs w:val="1"/>
                <w:color w:val="4ea72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CAUSES-ÉTIOLOGIE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Microbiote altéré via l’alimentation (une des 1ere cause du SII)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Production des métabolites issus de la fermentation des protéines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(sulfure d'hydrogène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ou encore des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Système nerveux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ab/>
              <w:t xml:space="preserve">Facteurs externes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stress, traumas précoces. (aussi l’environnement)</w:t>
            </w:r>
          </w:p>
          <w:p w:rsidR="00000000" w:rsidDel="00000000" w:rsidP="00000000" w:rsidRDefault="00000000" w:rsidRPr="00000000" w14:paraId="00000034">
            <w:pPr>
              <w:spacing w:line="278.00000000000006" w:lineRule="auto"/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•</w:t>
              <w:tab/>
              <w:t xml:space="preserve">Origines génétiques :</w:t>
            </w:r>
            <w:r w:rsidDel="00000000" w:rsidR="00000000" w:rsidRPr="00000000">
              <w:rPr>
                <w:color w:val="0f4761"/>
                <w:rtl w:val="0"/>
              </w:rPr>
              <w:t xml:space="preserve"> prédisposition familiale, identification de mutations récurrentes : séquences génomiques du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TNF, de l’IL-10 ou de CXCL8 (chimiokine)</w:t>
            </w:r>
            <w:r w:rsidDel="00000000" w:rsidR="00000000" w:rsidRPr="00000000">
              <w:rPr>
                <w:color w:val="0f476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PRÉDISPOSANT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Obésité, grossesse, ménopause, Diabète, Sida, MICI, Maladie cœliaque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Vieillissement, baisse des enzymes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DÉCLENCHANT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Stress chronique ,physique ou émotionnel,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anxiété, dépression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Dysbiose intestinal =&gt; microbiote altéré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hyperperméabilité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Candidose =&gt;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de la candidose chronique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Corticoïdes ,chimio, Alimentation riche en sucre, Stress +  acidose, Antibiotiques, Ains ,pilule, Grossesse, hypothyroïdie, Perturbateur 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 FAVORISANT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Hypersensibilité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neurologique (Système nerveux entérique)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Stress physique ou émotionnel,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anxiété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Allergies ou intolérances alimentaires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mauvaises habitudes alimentaires.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Antibiotiques systémiques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pour une infection GI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Malabsorption des acides biliaires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physique intense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Abus chronique d’alcool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Anomalies des sécrétions GI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contractions des muscles digestifs (péristaltisme)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Infections gastro-intestinales aiguës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bactériennes (Campylobacter, Salmonella, Sighella, Escherichia...), virales (Norovirus) ou parasitaires (Giardia lamblia).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Inflammation de l’intestin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(entérite)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FACTEUR FAVORISANT L’INFLAMMATION ET/OU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HYPERMÉABILITÉ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Polymorphisme génétique,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Hypersensibilité viscérale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préexistante,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Médicaments 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antibiotiques, anti-inflammatoires, inhibiteurs de la pompe à protons (IPP)),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Sportif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cas d'effort d’endurance prolongée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FACTEUR FAVORISANT LA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COMPOSITION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 DU MICROBIOTE </w:t>
            </w:r>
          </w:p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</w:rPr>
              <w:drawing>
                <wp:inline distB="0" distT="0" distL="0" distR="0">
                  <wp:extent cx="6599492" cy="89161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492" cy="891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030a0"/>
                <w:rtl w:val="0"/>
              </w:rPr>
              <w:t xml:space="preserve">OBJECTIF </w:t>
            </w:r>
            <w:r w:rsidDel="00000000" w:rsidR="00000000" w:rsidRPr="00000000">
              <w:rPr>
                <w:rFonts w:ascii="Aptos" w:cs="Aptos" w:eastAsia="Aptos" w:hAnsi="Aptos"/>
                <w:color w:val="7030a0"/>
                <w:rtl w:val="0"/>
              </w:rPr>
              <w:t xml:space="preserve">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f4761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7030a0"/>
                <w:rtl w:val="0"/>
              </w:rPr>
              <w:t xml:space="preserve">⇨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030a0"/>
                <w:rtl w:val="0"/>
              </w:rPr>
              <w:t xml:space="preserve"> Les 3 piliers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0</wp:posOffset>
                  </wp:positionV>
                  <wp:extent cx="5949950" cy="2682240"/>
                  <wp:effectExtent b="0" l="0" r="0" t="0"/>
                  <wp:wrapSquare wrapText="bothSides" distB="0" distT="0" distL="114300" distR="114300"/>
                  <wp:docPr descr="Une image contenant texte, menu, capture d’écran, Police&#10;&#10;Le contenu généré par l’IA peut être incorrect." id="3" name="image3.png"/>
                  <a:graphic>
                    <a:graphicData uri="http://schemas.openxmlformats.org/drawingml/2006/picture">
                      <pic:pic>
                        <pic:nvPicPr>
                          <pic:cNvPr descr="Une image contenant texte, menu, capture d’écran, Police&#10;&#10;Le contenu généré par l’IA peut être incorrect.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68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u w:val="none"/>
                <w:shd w:fill="auto" w:val="clear"/>
                <w:vertAlign w:val="baseline"/>
                <w:rtl w:val="0"/>
              </w:rPr>
              <w:t xml:space="preserve">Optimiser la barrière intestinale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Programme des 4R en résumé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Diminuer/résoudre l’inflammation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Normaliser les voies de signalisation avec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bon Ratio acide arachidonique (AA) /EPA (Omega 3,zinc, Vit B Magnésium),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Alimentation riche en antioxydants,(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vitamines A,C,E, flavonoïdes)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 Cofacteurs: zinc, cuivre, manganèse, sélénium pour soutenir le système de défense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Soutenir le système immunitaire par la nutrition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Vitamines A, C, D, Zinc, sélénium ,Extrait de plantes ( Spiruline Chlorella Echinacéa Thé vert Quercétine)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Nutrition et immunité intestinale : prise en charge de l’inflammation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Soutenir la détoxication du foie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6" w:hanging="113"/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b w:val="1"/>
          <w:bCs w:val="1"/>
          <w:color w:val="156082"/>
          <w:sz w:val="28"/>
          <w:szCs w:val="28"/>
          <w:rtl w:val="0"/>
        </w:rPr>
        <w:t xml:space="preserve">                                                                           HYGIÈNE DE VIE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13275"/>
        <w:tblGridChange w:id="0">
          <w:tblGrid>
            <w:gridCol w:w="2430"/>
            <w:gridCol w:w="13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i w:val="1"/>
                <w:iCs w:val="1"/>
                <w:color w:val="15608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DIET (Détoxification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0f4761"/>
                <w:sz w:val="28"/>
                <w:szCs w:val="28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  <w:rtl w:val="0"/>
              </w:rPr>
              <w:t xml:space="preserve">Mesures hygiéno-diététiques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24"/>
                <w:szCs w:val="24"/>
                <w:rtl w:val="0"/>
              </w:rPr>
              <w:t xml:space="preserve">•          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Rééquilibrage alimentaire 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Privilégier une alimentation riche en AGPI, en micronutriments, en flavonoïdes, en fibres et pauvre en graisses saturées ,en sucre rapide, viande rouge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Consommer des aliments bifidogènes (inuline, Oligo-fructose, FOS)</w:t>
            </w:r>
          </w:p>
          <w:p w:rsidR="00000000" w:rsidDel="00000000" w:rsidP="00000000" w:rsidRDefault="00000000" w:rsidRPr="00000000" w14:paraId="00000073">
            <w:pPr>
              <w:rPr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 •</w:t>
              <w:tab/>
              <w:t xml:space="preserve">Limitation ou suppression des aliments</w:t>
            </w:r>
            <w:r w:rsidDel="00000000" w:rsidR="00000000" w:rsidRPr="00000000">
              <w:rPr>
                <w:color w:val="77206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mesures d'épargne digestive, régime pauvre ou sans FODMAP,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régime d'élimination sélectif d’aliments allergéniques (en cas d'intolérance ou l'hypersensibilité alimentaire) :alcool, gluten, produits laitiers, lactose, fructose, etc..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     Probiotiques spécifiques , Supplémentation  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  <w:rtl w:val="0"/>
              </w:rPr>
              <w:t xml:space="preserve">Nutrition anti-stress</w:t>
            </w:r>
          </w:p>
          <w:p w:rsidR="00000000" w:rsidDel="00000000" w:rsidP="00000000" w:rsidRDefault="00000000" w:rsidRPr="00000000" w14:paraId="0000007B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Vitamines , minéraux et oligo-éléments</w:t>
            </w:r>
            <w:r w:rsidDel="00000000" w:rsidR="00000000" w:rsidRPr="00000000">
              <w:rPr>
                <w:color w:val="0f4761"/>
                <w:rtl w:val="0"/>
              </w:rPr>
              <w:t xml:space="preserve">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Cofacteurs </w:t>
            </w:r>
            <w:r w:rsidDel="00000000" w:rsidR="00000000" w:rsidRPr="00000000">
              <w:rPr>
                <w:color w:val="0f4761"/>
                <w:rtl w:val="0"/>
              </w:rPr>
              <w:t xml:space="preserve">(Acides aminés précurseurs + cofacteurs enzymatiques)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,</w:t>
            </w:r>
            <w:r w:rsidDel="00000000" w:rsidR="00000000" w:rsidRPr="00000000">
              <w:rPr>
                <w:color w:val="0f4761"/>
                <w:rtl w:val="0"/>
              </w:rPr>
              <w:t xml:space="preserve">Antioxydants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,</w:t>
            </w:r>
            <w:r w:rsidDel="00000000" w:rsidR="00000000" w:rsidRPr="00000000">
              <w:rPr>
                <w:color w:val="0f4761"/>
                <w:rtl w:val="0"/>
              </w:rPr>
              <w:t xml:space="preserve"> Acides gras polyinsaturés (oméga-3, poissons gras, EPA/DHA) Plantes adaptogènes</w:t>
            </w:r>
          </w:p>
          <w:p w:rsidR="00000000" w:rsidDel="00000000" w:rsidP="00000000" w:rsidRDefault="00000000" w:rsidRPr="00000000" w14:paraId="0000007C">
            <w:pPr>
              <w:spacing w:after="120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Alimentation anti-inflammatoire et alcalinisante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80350d"/>
                <w:rtl w:val="0"/>
              </w:rPr>
              <w:t xml:space="preserve">PSY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à action sur le transit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Constipation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artichaut, pissenlit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Diarrhée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sureau, noyer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Perméabilité intestinale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reglisse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Allergie alimentaire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desmodium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à actions sur le biofilm pathogène (anti-biofilm)</w:t>
            </w:r>
          </w:p>
          <w:p w:rsidR="00000000" w:rsidDel="00000000" w:rsidP="00000000" w:rsidRDefault="00000000" w:rsidRPr="00000000" w14:paraId="0000008C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Ail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357b6e"/>
                <w:rtl w:val="0"/>
              </w:rPr>
              <w:t xml:space="preserve">: </w:t>
            </w:r>
            <w:r w:rsidDel="00000000" w:rsidR="00000000" w:rsidRPr="00000000">
              <w:rPr>
                <w:color w:val="0f4761"/>
                <w:rtl w:val="0"/>
              </w:rPr>
              <w:t xml:space="preserve">empêche la communication et le recrutement bactérien au niveau du biofilm de façon ubiquitaire</w:t>
            </w:r>
          </w:p>
          <w:p w:rsidR="00000000" w:rsidDel="00000000" w:rsidP="00000000" w:rsidRDefault="00000000" w:rsidRPr="00000000" w14:paraId="0000008D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Canneberge </w:t>
            </w:r>
            <w:r w:rsidDel="00000000" w:rsidR="00000000" w:rsidRPr="00000000">
              <w:rPr>
                <w:b w:val="1"/>
                <w:bCs w:val="1"/>
                <w:color w:val="357b6e"/>
                <w:rtl w:val="0"/>
              </w:rPr>
              <w:t xml:space="preserve">:</w:t>
            </w:r>
            <w:r w:rsidDel="00000000" w:rsidR="00000000" w:rsidRPr="00000000">
              <w:rPr>
                <w:color w:val="357b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la synthèse du biofilm buccal, réduit l’adhésion de Candida albicans et Escherchia coli ,inhibe la croissance H.pylori,</w:t>
            </w:r>
          </w:p>
          <w:p w:rsidR="00000000" w:rsidDel="00000000" w:rsidP="00000000" w:rsidRDefault="00000000" w:rsidRPr="00000000" w14:paraId="0000008E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Curcuma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synthèse du biofilm de H.pylori</w:t>
            </w:r>
          </w:p>
          <w:p w:rsidR="00000000" w:rsidDel="00000000" w:rsidP="00000000" w:rsidRDefault="00000000" w:rsidRPr="00000000" w14:paraId="0000008F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Gingko biloba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genèse de la synthèse des organes de fixation d’E.Coli, et S.aureus. Inhibe la croissance de S.mutans</w:t>
            </w:r>
          </w:p>
          <w:p w:rsidR="00000000" w:rsidDel="00000000" w:rsidP="00000000" w:rsidRDefault="00000000" w:rsidRPr="00000000" w14:paraId="00000090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Guarana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l'adhésion de C.albicans</w:t>
            </w:r>
          </w:p>
          <w:p w:rsidR="00000000" w:rsidDel="00000000" w:rsidP="00000000" w:rsidRDefault="00000000" w:rsidRPr="00000000" w14:paraId="00000091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Olivier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empêche la communication et le recrutement bactérien au niveau du biofilm pour P. gingivalis, Campilobacter jéjunii, S.aureus résistant, Salmonella typhi</w:t>
            </w:r>
          </w:p>
          <w:p w:rsidR="00000000" w:rsidDel="00000000" w:rsidP="00000000" w:rsidRDefault="00000000" w:rsidRPr="00000000" w14:paraId="00000092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Ortie partie aérienne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synthèse du biofilm et la mobilité d’E.coli</w:t>
            </w:r>
          </w:p>
          <w:p w:rsidR="00000000" w:rsidDel="00000000" w:rsidP="00000000" w:rsidRDefault="00000000" w:rsidRPr="00000000" w14:paraId="00000093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Prêle</w:t>
            </w:r>
            <w:r w:rsidDel="00000000" w:rsidR="00000000" w:rsidRPr="00000000">
              <w:rPr>
                <w:color w:val="77206e"/>
                <w:rtl w:val="0"/>
              </w:rPr>
              <w:t xml:space="preserve"> : </w:t>
            </w:r>
            <w:r w:rsidDel="00000000" w:rsidR="00000000" w:rsidRPr="00000000">
              <w:rPr>
                <w:color w:val="0f4761"/>
                <w:rtl w:val="0"/>
              </w:rPr>
              <w:t xml:space="preserve">idem ortie</w:t>
            </w:r>
          </w:p>
          <w:p w:rsidR="00000000" w:rsidDel="00000000" w:rsidP="00000000" w:rsidRDefault="00000000" w:rsidRPr="00000000" w14:paraId="00000094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Réglisse: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la synthèse du biofilm de S.mutans. Inhibe la désporulation de C. albicans</w:t>
            </w:r>
          </w:p>
          <w:p w:rsidR="00000000" w:rsidDel="00000000" w:rsidP="00000000" w:rsidRDefault="00000000" w:rsidRPr="00000000" w14:paraId="00000095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Bromélaïne et papaïne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anti-inflammatoire, cassent le biofilm</w:t>
            </w:r>
          </w:p>
          <w:p w:rsidR="00000000" w:rsidDel="00000000" w:rsidP="00000000" w:rsidRDefault="00000000" w:rsidRPr="00000000" w14:paraId="00000096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30"/>
                <w:szCs w:val="30"/>
                <w:u w:val="single"/>
                <w:rtl w:val="0"/>
              </w:rPr>
              <w:t xml:space="preserve">Soutien hépatique</w:t>
            </w:r>
          </w:p>
          <w:p w:rsidR="00000000" w:rsidDel="00000000" w:rsidP="00000000" w:rsidRDefault="00000000" w:rsidRPr="00000000" w14:paraId="00000097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Sylimarine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propriétés antioxydantes, anti inflammatoires et hépato protectrices et régénératrices des hépatocytes </w:t>
            </w:r>
          </w:p>
          <w:p w:rsidR="00000000" w:rsidDel="00000000" w:rsidP="00000000" w:rsidRDefault="00000000" w:rsidRPr="00000000" w14:paraId="00000098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Artichaut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production et dégradation de la bile, soutien hépato protecteur de la digestion, rôle hepatoprotecteur </w:t>
            </w:r>
          </w:p>
          <w:p w:rsidR="00000000" w:rsidDel="00000000" w:rsidP="00000000" w:rsidRDefault="00000000" w:rsidRPr="00000000" w14:paraId="00000099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Curcumine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antioxydante, hépato protectrice, anti-inflammatoire </w:t>
            </w:r>
          </w:p>
          <w:p w:rsidR="00000000" w:rsidDel="00000000" w:rsidP="00000000" w:rsidRDefault="00000000" w:rsidRPr="00000000" w14:paraId="0000009A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Desmodium ascendens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riche en molécules hépato protectrices (acides gras insaturés, flavonoïdes)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Bourgeons de Noyer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à 15 gouttes/jour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dans un peu d’eau,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1 à 3 prises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avant les repas.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Réparer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 glutamine ,Butyrate, zinc, Vit B5, Quercétine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Retirer 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Extrait de pépins de pamplemousse, Ail,  Berbérine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Réinoculer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Polyphénols, berbérine, </w:t>
            </w:r>
            <w:r w:rsidDel="00000000" w:rsidR="00000000" w:rsidRPr="00000000">
              <w:rPr>
                <w:color w:val="0f4761"/>
                <w:rtl w:val="0"/>
              </w:rPr>
              <w:t xml:space="preserve">Oméga 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,Probiotiques (L.acidophilus, B.lactis, F.prausnitzii)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Renforcer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Enzymes digestives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 :Antioxydants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(vit A,C,E, ac.R alpha lipoïque, glutathion) +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Cofacteur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zinc, sélénium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II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Taurine, glutathion, NAC +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Cofacteur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(Vitamines B9, B12, B6, B2, B5…)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III 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citrate de potassium, de magnésium, de manganèse, zinc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adaptogenes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Eleuthérocoque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459983"/>
                <w:rtl w:val="0"/>
              </w:rPr>
              <w:t xml:space="preserve">(</w:t>
            </w:r>
            <w:r w:rsidDel="00000000" w:rsidR="00000000" w:rsidRPr="00000000">
              <w:rPr>
                <w:color w:val="0f4761"/>
                <w:rtl w:val="0"/>
              </w:rPr>
              <w:t xml:space="preserve">Eleutherococcus senticosus), Ginseng de Sibérie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fatigue, surmenage, immunodéficience</w:t>
            </w:r>
          </w:p>
          <w:p w:rsidR="00000000" w:rsidDel="00000000" w:rsidP="00000000" w:rsidRDefault="00000000" w:rsidRPr="00000000" w14:paraId="000000AC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Astragale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(Astragalus membranaceus) 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régulation de la fonction immunitaire</w:t>
            </w:r>
            <w:r w:rsidDel="00000000" w:rsidR="00000000" w:rsidRPr="00000000">
              <w:rPr>
                <w:color w:val="7030a0"/>
                <w:rtl w:val="0"/>
              </w:rPr>
              <w:t xml:space="preserve">, </w:t>
            </w:r>
            <w:r w:rsidDel="00000000" w:rsidR="00000000" w:rsidRPr="00000000">
              <w:rPr>
                <w:color w:val="0f4761"/>
                <w:rtl w:val="0"/>
              </w:rPr>
              <w:t xml:space="preserve">antivirale, anti-inflammatoire, antioxydante, protection tumorale et cardio-vasculaire</w:t>
            </w:r>
          </w:p>
          <w:p w:rsidR="00000000" w:rsidDel="00000000" w:rsidP="00000000" w:rsidRDefault="00000000" w:rsidRPr="00000000" w14:paraId="000000AD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Rhodiola (Rhodiola rosea L.)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459983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situations stressantes, effets bénéfiques sur les performances mentales, l’attention et la concentration</w:t>
            </w:r>
            <w:r w:rsidDel="00000000" w:rsidR="00000000" w:rsidRPr="00000000">
              <w:rPr>
                <w:b w:val="1"/>
                <w:bCs w:val="1"/>
                <w:color w:val="7030a0"/>
                <w:rtl w:val="0"/>
              </w:rPr>
              <w:t xml:space="preserve">. </w:t>
            </w:r>
            <w:r w:rsidDel="00000000" w:rsidR="00000000" w:rsidRPr="00000000">
              <w:rPr>
                <w:color w:val="0f4761"/>
                <w:rtl w:val="0"/>
              </w:rPr>
              <w:t xml:space="preserve">Vertus tonifiantes en cas de fatigue et aide l’organisme à s’adapter au stress émotionnel et à améliorer l’humeur.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Safran (Crocus sativus)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rôle bénéfique dans les troubles de l’humeur, problématiques de dépression, </w:t>
            </w:r>
            <w:r w:rsidDel="00000000" w:rsidR="00000000" w:rsidRPr="00000000">
              <w:rPr>
                <w:color w:val="0f4761"/>
                <w:rtl w:val="0"/>
              </w:rPr>
              <w:t xml:space="preserve">baisse de moral, insomnies, anxiété et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1905" w:w="16840" w:orient="landscape"/>
      <w:pgMar w:bottom="170" w:top="170" w:left="567" w:right="284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chitects Daughter">
    <w:embedRegular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⇨"/>
      <w:lvlJc w:val="left"/>
      <w:pPr>
        <w:ind w:left="7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f4761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chitectsDaughter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