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FA80" w14:textId="77777777" w:rsidR="00023A02" w:rsidRDefault="00023A02">
      <w:pPr>
        <w:widowControl w:val="0"/>
        <w:rPr>
          <w:sz w:val="40"/>
          <w:szCs w:val="40"/>
        </w:rPr>
      </w:pPr>
    </w:p>
    <w:tbl>
      <w:tblPr>
        <w:tblStyle w:val="a"/>
        <w:tblW w:w="104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8960"/>
      </w:tblGrid>
      <w:tr w:rsidR="00023A02" w14:paraId="1E6CAEEE" w14:textId="77777777">
        <w:trPr>
          <w:trHeight w:val="5507"/>
        </w:trPr>
        <w:tc>
          <w:tcPr>
            <w:tcW w:w="1500" w:type="dxa"/>
          </w:tcPr>
          <w:p w14:paraId="2765BCAB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sz w:val="24"/>
                <w:szCs w:val="24"/>
              </w:rPr>
            </w:pPr>
            <w:bookmarkStart w:id="0" w:name="_bpa2gqy0qjg7" w:colFirst="0" w:colLast="0"/>
            <w:bookmarkEnd w:id="0"/>
            <w:r>
              <w:rPr>
                <w:rFonts w:ascii="Aptos" w:eastAsia="Aptos" w:hAnsi="Aptos" w:cs="Aptos"/>
                <w:b/>
                <w:bCs/>
                <w:color w:val="E97132"/>
                <w:sz w:val="32"/>
                <w:szCs w:val="32"/>
              </w:rPr>
              <w:t>TITRE</w:t>
            </w:r>
          </w:p>
          <w:p w14:paraId="0503C07F" w14:textId="77777777" w:rsidR="00023A02" w:rsidRDefault="00023A02">
            <w:pPr>
              <w:spacing w:line="240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545CD94" w14:textId="569BEB65" w:rsidR="00023A02" w:rsidRPr="00421647" w:rsidRDefault="00421647" w:rsidP="00421647">
            <w:pPr>
              <w:spacing w:line="240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 w:rsidRPr="00421647">
              <w:rPr>
                <w:rFonts w:ascii="Aptos" w:eastAsia="Aptos" w:hAnsi="Aptos" w:cs="Aptos"/>
                <w:b/>
                <w:bCs/>
                <w:sz w:val="28"/>
                <w:szCs w:val="28"/>
              </w:rPr>
              <w:t xml:space="preserve">Prostatite </w:t>
            </w:r>
          </w:p>
        </w:tc>
        <w:tc>
          <w:tcPr>
            <w:tcW w:w="8960" w:type="dxa"/>
          </w:tcPr>
          <w:p w14:paraId="01EC71FF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color w:val="156082"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bCs/>
                <w:color w:val="156082"/>
              </w:rPr>
              <w:t xml:space="preserve">Définition : </w:t>
            </w:r>
            <w:r>
              <w:rPr>
                <w:rFonts w:ascii="Aptos" w:eastAsia="Aptos" w:hAnsi="Aptos" w:cs="Aptos"/>
                <w:sz w:val="20"/>
                <w:szCs w:val="20"/>
              </w:rPr>
              <w:t>Inflammation de la prostate</w:t>
            </w:r>
            <w:r>
              <w:rPr>
                <w:rFonts w:ascii="Aptos" w:eastAsia="Aptos" w:hAnsi="Aptos" w:cs="Aptos"/>
                <w:b/>
                <w:bCs/>
                <w:color w:val="156082"/>
                <w:sz w:val="20"/>
                <w:szCs w:val="20"/>
              </w:rPr>
              <w:t xml:space="preserve"> </w:t>
            </w:r>
          </w:p>
          <w:p w14:paraId="66DE0532" w14:textId="77777777" w:rsidR="00023A02" w:rsidRDefault="00023A02">
            <w:pPr>
              <w:spacing w:line="240" w:lineRule="auto"/>
              <w:rPr>
                <w:rFonts w:ascii="Aptos" w:eastAsia="Aptos" w:hAnsi="Aptos" w:cs="Aptos"/>
                <w:b/>
                <w:bCs/>
              </w:rPr>
            </w:pPr>
          </w:p>
          <w:p w14:paraId="6E7A4CE5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bCs/>
                <w:color w:val="E97132"/>
              </w:rPr>
              <w:t>Symptômes :</w:t>
            </w:r>
            <w:r>
              <w:rPr>
                <w:rFonts w:ascii="Aptos" w:eastAsia="Aptos" w:hAnsi="Aptos" w:cs="Aptos"/>
                <w:sz w:val="20"/>
                <w:szCs w:val="20"/>
              </w:rPr>
              <w:t xml:space="preserve"> Brûlures urinaires, envie fréquente d'uriner, jet faible, difficultés à démarrer la miction, sensation de vidange incomplète de la vessie, douleurs pendant ou après la miction.</w:t>
            </w:r>
          </w:p>
          <w:p w14:paraId="64E4D617" w14:textId="77777777" w:rsidR="00023A02" w:rsidRDefault="00023A02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39F61596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E97132"/>
              </w:rPr>
            </w:pPr>
            <w:r>
              <w:rPr>
                <w:rFonts w:ascii="Aptos" w:eastAsia="Aptos" w:hAnsi="Aptos" w:cs="Aptos"/>
                <w:b/>
                <w:bCs/>
                <w:color w:val="E97132"/>
              </w:rPr>
              <w:t>Liens systèmes :</w:t>
            </w:r>
          </w:p>
          <w:p w14:paraId="30A6DE2E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E97132"/>
              </w:rPr>
            </w:pPr>
            <w:r>
              <w:rPr>
                <w:rFonts w:ascii="Aptos" w:eastAsia="Aptos" w:hAnsi="Aptos" w:cs="Aptos"/>
                <w:b/>
                <w:bCs/>
                <w:color w:val="E97132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noProof/>
                <w:color w:val="E97132"/>
              </w:rPr>
              <w:drawing>
                <wp:inline distT="114300" distB="114300" distL="114300" distR="114300" wp14:anchorId="54682C25" wp14:editId="3B7266FA">
                  <wp:extent cx="3045392" cy="1218157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5392" cy="12181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CA65784" w14:textId="77777777" w:rsidR="00023A02" w:rsidRDefault="00023A02">
            <w:pPr>
              <w:spacing w:line="240" w:lineRule="auto"/>
              <w:rPr>
                <w:rFonts w:ascii="Aptos" w:eastAsia="Aptos" w:hAnsi="Aptos" w:cs="Aptos"/>
                <w:b/>
                <w:bCs/>
                <w:color w:val="E97132"/>
              </w:rPr>
            </w:pPr>
          </w:p>
          <w:p w14:paraId="64781D65" w14:textId="77777777" w:rsidR="00023A02" w:rsidRDefault="00000000">
            <w:pPr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Système nerveux</w:t>
            </w:r>
            <w:r>
              <w:rPr>
                <w:rFonts w:ascii="Aptos" w:eastAsia="Aptos" w:hAnsi="Aptos" w:cs="Aptos"/>
                <w:sz w:val="20"/>
                <w:szCs w:val="20"/>
              </w:rPr>
              <w:t xml:space="preserve"> : Personne anxieuse ? Stress ?</w:t>
            </w:r>
          </w:p>
          <w:p w14:paraId="6F0C9F9A" w14:textId="77777777" w:rsidR="00023A02" w:rsidRDefault="00000000">
            <w:pPr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Système digestif </w:t>
            </w:r>
            <w:r>
              <w:rPr>
                <w:rFonts w:ascii="Aptos" w:eastAsia="Aptos" w:hAnsi="Aptos" w:cs="Aptos"/>
                <w:sz w:val="20"/>
                <w:szCs w:val="20"/>
              </w:rPr>
              <w:t>: Dysbiose intestinale ? Comment se passe la digestion ?</w:t>
            </w:r>
          </w:p>
          <w:p w14:paraId="5253D712" w14:textId="77777777" w:rsidR="00023A02" w:rsidRDefault="00000000">
            <w:pPr>
              <w:numPr>
                <w:ilvl w:val="0"/>
                <w:numId w:val="2"/>
              </w:num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Système immunitaire</w:t>
            </w:r>
            <w:r>
              <w:rPr>
                <w:rFonts w:ascii="Aptos" w:eastAsia="Aptos" w:hAnsi="Aptos" w:cs="Aptos"/>
                <w:sz w:val="20"/>
                <w:szCs w:val="20"/>
              </w:rPr>
              <w:t xml:space="preserve"> : Pathologie auto-immune ? </w:t>
            </w:r>
          </w:p>
          <w:p w14:paraId="756EBEC1" w14:textId="77777777" w:rsidR="00023A02" w:rsidRDefault="00023A02">
            <w:pPr>
              <w:spacing w:line="240" w:lineRule="auto"/>
              <w:rPr>
                <w:rFonts w:ascii="Aptos" w:eastAsia="Aptos" w:hAnsi="Aptos" w:cs="Aptos"/>
                <w:color w:val="E97132"/>
                <w:sz w:val="20"/>
                <w:szCs w:val="20"/>
              </w:rPr>
            </w:pPr>
          </w:p>
          <w:p w14:paraId="3498DD90" w14:textId="77777777" w:rsidR="00023A02" w:rsidRDefault="00023A02">
            <w:pPr>
              <w:spacing w:line="240" w:lineRule="auto"/>
              <w:rPr>
                <w:rFonts w:ascii="Aptos" w:eastAsia="Aptos" w:hAnsi="Aptos" w:cs="Aptos"/>
                <w:b/>
                <w:bCs/>
                <w:i/>
                <w:iCs/>
                <w:color w:val="80350D"/>
              </w:rPr>
            </w:pPr>
          </w:p>
          <w:tbl>
            <w:tblPr>
              <w:tblStyle w:val="a0"/>
              <w:tblW w:w="1046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460"/>
            </w:tblGrid>
            <w:tr w:rsidR="00023A02" w14:paraId="7FE05104" w14:textId="77777777">
              <w:tc>
                <w:tcPr>
                  <w:tcW w:w="10460" w:type="dxa"/>
                </w:tcPr>
                <w:p w14:paraId="6778A312" w14:textId="77777777" w:rsidR="00023A02" w:rsidRDefault="00000000">
                  <w:pPr>
                    <w:spacing w:line="240" w:lineRule="auto"/>
                    <w:rPr>
                      <w:rFonts w:ascii="Aptos" w:eastAsia="Aptos" w:hAnsi="Aptos" w:cs="Aptos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E97132"/>
                    </w:rPr>
                    <w:t xml:space="preserve">Digestion – Absorption (perméabilité intestinale, microbiote) : </w:t>
                  </w:r>
                </w:p>
                <w:p w14:paraId="1A14C780" w14:textId="77777777" w:rsidR="00023A02" w:rsidRDefault="00023A02">
                  <w:pPr>
                    <w:spacing w:line="240" w:lineRule="auto"/>
                    <w:rPr>
                      <w:rFonts w:ascii="Aptos" w:eastAsia="Aptos" w:hAnsi="Aptos" w:cs="Aptos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</w:p>
                <w:p w14:paraId="2A364ACD" w14:textId="77777777" w:rsidR="00023A02" w:rsidRDefault="00023A02">
                  <w:pPr>
                    <w:spacing w:line="240" w:lineRule="auto"/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80350D"/>
                    </w:rPr>
                  </w:pPr>
                </w:p>
              </w:tc>
            </w:tr>
            <w:tr w:rsidR="00023A02" w14:paraId="43B99F1B" w14:textId="77777777">
              <w:tc>
                <w:tcPr>
                  <w:tcW w:w="10460" w:type="dxa"/>
                </w:tcPr>
                <w:p w14:paraId="5B910FA5" w14:textId="77777777" w:rsidR="00023A02" w:rsidRDefault="00000000">
                  <w:pPr>
                    <w:spacing w:line="240" w:lineRule="auto"/>
                    <w:rPr>
                      <w:rFonts w:ascii="Aptos" w:eastAsia="Aptos" w:hAnsi="Aptos" w:cs="Aptos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E97132"/>
                    </w:rPr>
                    <w:t>SI (Surveillance immunitaire) </w:t>
                  </w:r>
                  <w:r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80350D"/>
                    </w:rPr>
                    <w:t xml:space="preserve">: </w:t>
                  </w:r>
                </w:p>
                <w:p w14:paraId="67121D42" w14:textId="77777777" w:rsidR="00023A02" w:rsidRDefault="00023A02">
                  <w:pPr>
                    <w:spacing w:line="240" w:lineRule="auto"/>
                    <w:rPr>
                      <w:rFonts w:ascii="Aptos" w:eastAsia="Aptos" w:hAnsi="Aptos" w:cs="Aptos"/>
                      <w:sz w:val="20"/>
                      <w:szCs w:val="20"/>
                    </w:rPr>
                  </w:pPr>
                </w:p>
                <w:p w14:paraId="3CF95188" w14:textId="77777777" w:rsidR="00023A02" w:rsidRDefault="00023A02">
                  <w:pPr>
                    <w:spacing w:line="240" w:lineRule="auto"/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80350D"/>
                      <w:sz w:val="20"/>
                      <w:szCs w:val="20"/>
                    </w:rPr>
                  </w:pPr>
                </w:p>
              </w:tc>
            </w:tr>
            <w:tr w:rsidR="00023A02" w14:paraId="0451601E" w14:textId="77777777">
              <w:tc>
                <w:tcPr>
                  <w:tcW w:w="10460" w:type="dxa"/>
                </w:tcPr>
                <w:p w14:paraId="43199A56" w14:textId="77777777" w:rsidR="00023A02" w:rsidRDefault="00000000">
                  <w:pPr>
                    <w:spacing w:line="240" w:lineRule="auto"/>
                    <w:rPr>
                      <w:rFonts w:ascii="Aptos" w:eastAsia="Aptos" w:hAnsi="Aptos" w:cs="Aptos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E97132"/>
                    </w:rPr>
                    <w:t>INF (Processus inflammatoire) </w:t>
                  </w:r>
                  <w:r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E97132"/>
                      <w:sz w:val="18"/>
                      <w:szCs w:val="18"/>
                    </w:rPr>
                    <w:t xml:space="preserve">: </w:t>
                  </w:r>
                </w:p>
                <w:p w14:paraId="4842B2AD" w14:textId="77777777" w:rsidR="00023A02" w:rsidRDefault="00023A02">
                  <w:pPr>
                    <w:spacing w:line="240" w:lineRule="auto"/>
                    <w:rPr>
                      <w:rFonts w:ascii="Aptos" w:eastAsia="Aptos" w:hAnsi="Aptos" w:cs="Aptos"/>
                      <w:sz w:val="20"/>
                      <w:szCs w:val="20"/>
                    </w:rPr>
                  </w:pPr>
                </w:p>
                <w:p w14:paraId="41CD8418" w14:textId="77777777" w:rsidR="00023A02" w:rsidRDefault="00023A02">
                  <w:pPr>
                    <w:spacing w:line="240" w:lineRule="auto"/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80350D"/>
                      <w:sz w:val="18"/>
                      <w:szCs w:val="18"/>
                    </w:rPr>
                  </w:pPr>
                </w:p>
              </w:tc>
            </w:tr>
            <w:tr w:rsidR="00023A02" w14:paraId="2E6438B6" w14:textId="77777777">
              <w:tc>
                <w:tcPr>
                  <w:tcW w:w="10460" w:type="dxa"/>
                </w:tcPr>
                <w:p w14:paraId="40E118BE" w14:textId="77777777" w:rsidR="00023A02" w:rsidRDefault="00000000">
                  <w:pPr>
                    <w:spacing w:line="240" w:lineRule="auto"/>
                    <w:rPr>
                      <w:rFonts w:ascii="Aptos" w:eastAsia="Aptos" w:hAnsi="Aptos" w:cs="Aptos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E97132"/>
                    </w:rPr>
                    <w:t>Régulation Neuro Hormonale) :</w:t>
                  </w:r>
                </w:p>
                <w:p w14:paraId="167F138F" w14:textId="77777777" w:rsidR="00023A02" w:rsidRDefault="00023A02">
                  <w:pPr>
                    <w:spacing w:line="240" w:lineRule="auto"/>
                    <w:rPr>
                      <w:rFonts w:ascii="Aptos" w:eastAsia="Aptos" w:hAnsi="Aptos" w:cs="Aptos"/>
                      <w:sz w:val="20"/>
                      <w:szCs w:val="20"/>
                    </w:rPr>
                  </w:pPr>
                </w:p>
                <w:p w14:paraId="241E02F5" w14:textId="77777777" w:rsidR="00023A02" w:rsidRDefault="00023A02">
                  <w:pPr>
                    <w:spacing w:line="240" w:lineRule="auto"/>
                    <w:rPr>
                      <w:rFonts w:ascii="Aptos" w:eastAsia="Aptos" w:hAnsi="Aptos" w:cs="Aptos"/>
                      <w:b/>
                      <w:bCs/>
                      <w:i/>
                      <w:iCs/>
                      <w:color w:val="80350D"/>
                      <w:sz w:val="20"/>
                      <w:szCs w:val="20"/>
                    </w:rPr>
                  </w:pPr>
                </w:p>
              </w:tc>
            </w:tr>
          </w:tbl>
          <w:p w14:paraId="55E07170" w14:textId="77777777" w:rsidR="00023A02" w:rsidRDefault="00023A02">
            <w:pPr>
              <w:spacing w:line="240" w:lineRule="auto"/>
              <w:rPr>
                <w:rFonts w:ascii="Aptos" w:eastAsia="Aptos" w:hAnsi="Aptos" w:cs="Aptos"/>
                <w:b/>
                <w:bCs/>
              </w:rPr>
            </w:pPr>
          </w:p>
        </w:tc>
      </w:tr>
      <w:tr w:rsidR="00023A02" w14:paraId="590831F6" w14:textId="77777777">
        <w:tc>
          <w:tcPr>
            <w:tcW w:w="1500" w:type="dxa"/>
          </w:tcPr>
          <w:p w14:paraId="4A7FA0C0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96B24"/>
              </w:rPr>
            </w:pPr>
            <w:proofErr w:type="spellStart"/>
            <w:r>
              <w:rPr>
                <w:rFonts w:ascii="Aptos" w:eastAsia="Aptos" w:hAnsi="Aptos" w:cs="Aptos"/>
                <w:b/>
                <w:bCs/>
                <w:color w:val="196B24"/>
              </w:rPr>
              <w:t>Evolution</w:t>
            </w:r>
            <w:proofErr w:type="spellEnd"/>
            <w:r>
              <w:rPr>
                <w:rFonts w:ascii="Aptos" w:eastAsia="Aptos" w:hAnsi="Aptos" w:cs="Aptos"/>
                <w:b/>
                <w:bCs/>
                <w:color w:val="196B24"/>
              </w:rPr>
              <w:t xml:space="preserve"> – Risque</w:t>
            </w:r>
          </w:p>
          <w:p w14:paraId="1D46B9BF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i/>
                <w:iCs/>
                <w:color w:val="156082"/>
              </w:rPr>
            </w:pPr>
            <w:r>
              <w:rPr>
                <w:rFonts w:ascii="Aptos" w:eastAsia="Aptos" w:hAnsi="Aptos" w:cs="Aptos"/>
                <w:b/>
                <w:bCs/>
                <w:i/>
                <w:iCs/>
                <w:color w:val="4EA72E"/>
              </w:rPr>
              <w:t>« Intégrité structurale »</w:t>
            </w:r>
          </w:p>
        </w:tc>
        <w:tc>
          <w:tcPr>
            <w:tcW w:w="8960" w:type="dxa"/>
          </w:tcPr>
          <w:p w14:paraId="3D509F9D" w14:textId="77777777" w:rsidR="00023A02" w:rsidRDefault="00023A02">
            <w:pPr>
              <w:spacing w:line="240" w:lineRule="auto"/>
              <w:ind w:left="113"/>
              <w:rPr>
                <w:rFonts w:ascii="Aptos" w:eastAsia="Aptos" w:hAnsi="Aptos" w:cs="Aptos"/>
                <w:sz w:val="20"/>
                <w:szCs w:val="20"/>
              </w:rPr>
            </w:pPr>
          </w:p>
        </w:tc>
      </w:tr>
      <w:tr w:rsidR="00023A02" w14:paraId="6D07D518" w14:textId="77777777">
        <w:tc>
          <w:tcPr>
            <w:tcW w:w="1500" w:type="dxa"/>
          </w:tcPr>
          <w:p w14:paraId="2A7181BC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96B24"/>
              </w:rPr>
            </w:pPr>
            <w:r>
              <w:rPr>
                <w:rFonts w:ascii="Aptos" w:eastAsia="Aptos" w:hAnsi="Aptos" w:cs="Aptos"/>
                <w:b/>
                <w:bCs/>
                <w:color w:val="196B24"/>
              </w:rPr>
              <w:t>Diagnostic</w:t>
            </w:r>
          </w:p>
        </w:tc>
        <w:tc>
          <w:tcPr>
            <w:tcW w:w="8960" w:type="dxa"/>
          </w:tcPr>
          <w:p w14:paraId="5F8ADB31" w14:textId="77777777" w:rsidR="00023A02" w:rsidRDefault="00023A02">
            <w:pPr>
              <w:spacing w:line="240" w:lineRule="auto"/>
              <w:ind w:left="113"/>
              <w:rPr>
                <w:rFonts w:ascii="Aptos" w:eastAsia="Aptos" w:hAnsi="Aptos" w:cs="Aptos"/>
                <w:color w:val="156082"/>
                <w:sz w:val="20"/>
                <w:szCs w:val="20"/>
              </w:rPr>
            </w:pPr>
          </w:p>
        </w:tc>
      </w:tr>
      <w:tr w:rsidR="00023A02" w14:paraId="3BA8E4F8" w14:textId="77777777">
        <w:tc>
          <w:tcPr>
            <w:tcW w:w="1500" w:type="dxa"/>
          </w:tcPr>
          <w:p w14:paraId="6086E1F1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96B24"/>
              </w:rPr>
            </w:pPr>
            <w:r>
              <w:rPr>
                <w:rFonts w:ascii="Aptos" w:eastAsia="Aptos" w:hAnsi="Aptos" w:cs="Aptos"/>
                <w:b/>
                <w:bCs/>
                <w:color w:val="196B24"/>
              </w:rPr>
              <w:t>Causes</w:t>
            </w:r>
          </w:p>
          <w:p w14:paraId="3196CDDE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i/>
                <w:iCs/>
                <w:color w:val="4EA72E"/>
              </w:rPr>
            </w:pPr>
            <w:r>
              <w:rPr>
                <w:rFonts w:ascii="Aptos" w:eastAsia="Aptos" w:hAnsi="Aptos" w:cs="Aptos"/>
                <w:b/>
                <w:bCs/>
                <w:i/>
                <w:iCs/>
                <w:color w:val="4EA72E"/>
              </w:rPr>
              <w:t xml:space="preserve">« Facteurs FP (prédisposant) – </w:t>
            </w:r>
          </w:p>
          <w:p w14:paraId="01648609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i/>
                <w:iCs/>
                <w:color w:val="80350D"/>
              </w:rPr>
            </w:pPr>
            <w:r>
              <w:rPr>
                <w:rFonts w:ascii="Aptos" w:eastAsia="Aptos" w:hAnsi="Aptos" w:cs="Aptos"/>
                <w:b/>
                <w:bCs/>
                <w:i/>
                <w:iCs/>
                <w:color w:val="4EA72E"/>
              </w:rPr>
              <w:t xml:space="preserve">FD (déclenchant) – </w:t>
            </w:r>
            <w:proofErr w:type="gramStart"/>
            <w:r>
              <w:rPr>
                <w:rFonts w:ascii="Aptos" w:eastAsia="Aptos" w:hAnsi="Aptos" w:cs="Aptos"/>
                <w:b/>
                <w:bCs/>
                <w:i/>
                <w:iCs/>
                <w:color w:val="4EA72E"/>
              </w:rPr>
              <w:t>FF  (</w:t>
            </w:r>
            <w:proofErr w:type="gramEnd"/>
            <w:r>
              <w:rPr>
                <w:rFonts w:ascii="Aptos" w:eastAsia="Aptos" w:hAnsi="Aptos" w:cs="Aptos"/>
                <w:b/>
                <w:bCs/>
                <w:i/>
                <w:iCs/>
                <w:color w:val="4EA72E"/>
              </w:rPr>
              <w:t>favorisant) »</w:t>
            </w:r>
          </w:p>
        </w:tc>
        <w:tc>
          <w:tcPr>
            <w:tcW w:w="8960" w:type="dxa"/>
          </w:tcPr>
          <w:p w14:paraId="0876A638" w14:textId="77777777" w:rsidR="00023A02" w:rsidRDefault="00000000">
            <w:pPr>
              <w:shd w:val="clear" w:color="auto" w:fill="FFFFFF"/>
              <w:spacing w:after="160"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Les principales causes sont :</w:t>
            </w:r>
          </w:p>
          <w:p w14:paraId="4AD3667F" w14:textId="77777777" w:rsidR="00023A02" w:rsidRDefault="00000000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Infection bactérienne (E. coli, entérocoques…)</w:t>
            </w:r>
          </w:p>
          <w:p w14:paraId="2B0FE54D" w14:textId="77777777" w:rsidR="00023A02" w:rsidRDefault="00000000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Reflux d’urine dans la prostate</w:t>
            </w:r>
          </w:p>
          <w:p w14:paraId="1BDC7DF6" w14:textId="77777777" w:rsidR="00023A02" w:rsidRDefault="00000000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Manipulations médicales (cystoscopie, sonde urinaire)</w:t>
            </w:r>
          </w:p>
          <w:p w14:paraId="74D908AD" w14:textId="77777777" w:rsidR="00023A02" w:rsidRDefault="00000000">
            <w:pPr>
              <w:numPr>
                <w:ilvl w:val="0"/>
                <w:numId w:val="1"/>
              </w:numPr>
              <w:shd w:val="clear" w:color="auto" w:fill="FFFFFF"/>
              <w:spacing w:after="160"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Stress, sédentarité ou troubles immunitaires</w:t>
            </w:r>
          </w:p>
          <w:p w14:paraId="452ECB89" w14:textId="77777777" w:rsidR="00023A02" w:rsidRDefault="00000000">
            <w:pPr>
              <w:shd w:val="clear" w:color="auto" w:fill="FFFFFF"/>
              <w:spacing w:after="160"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 xml:space="preserve">FF majeur :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l’adénome de la prostate</w:t>
            </w:r>
            <w:r>
              <w:rPr>
                <w:rFonts w:ascii="Aptos" w:eastAsia="Aptos" w:hAnsi="Aptos" w:cs="Aptos"/>
                <w:sz w:val="20"/>
                <w:szCs w:val="20"/>
              </w:rPr>
              <w:t xml:space="preserve"> (HBP).</w:t>
            </w:r>
          </w:p>
          <w:p w14:paraId="2F4315D2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 xml:space="preserve">FP :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L’hypertrophie bénigne de la prostate</w:t>
            </w:r>
            <w:r>
              <w:rPr>
                <w:rFonts w:ascii="Aptos" w:eastAsia="Aptos" w:hAnsi="Aptos" w:cs="Aptos"/>
                <w:sz w:val="20"/>
                <w:szCs w:val="20"/>
              </w:rPr>
              <w:t xml:space="preserve"> peut entraîner une mauvaise vidange de la vessie et favoriser la stagnation des urines, ce qui augmente le risque d’infections et donc de prostatite.</w:t>
            </w:r>
          </w:p>
        </w:tc>
      </w:tr>
      <w:tr w:rsidR="00023A02" w14:paraId="7E31E6AF" w14:textId="77777777">
        <w:tc>
          <w:tcPr>
            <w:tcW w:w="1500" w:type="dxa"/>
          </w:tcPr>
          <w:p w14:paraId="5964C31A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96B24"/>
              </w:rPr>
            </w:pPr>
            <w:r>
              <w:rPr>
                <w:rFonts w:ascii="Aptos" w:eastAsia="Aptos" w:hAnsi="Aptos" w:cs="Aptos"/>
                <w:b/>
                <w:bCs/>
                <w:color w:val="196B24"/>
              </w:rPr>
              <w:t>Enquête</w:t>
            </w:r>
          </w:p>
          <w:p w14:paraId="099DA174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96B24"/>
              </w:rPr>
            </w:pPr>
            <w:r>
              <w:rPr>
                <w:rFonts w:ascii="Aptos" w:eastAsia="Aptos" w:hAnsi="Aptos" w:cs="Aptos"/>
                <w:b/>
                <w:bCs/>
                <w:color w:val="196B24"/>
              </w:rPr>
              <w:t>Questions</w:t>
            </w:r>
          </w:p>
        </w:tc>
        <w:tc>
          <w:tcPr>
            <w:tcW w:w="8960" w:type="dxa"/>
          </w:tcPr>
          <w:p w14:paraId="7F478CEB" w14:textId="77777777" w:rsidR="00023A02" w:rsidRDefault="00000000">
            <w:pPr>
              <w:spacing w:line="240" w:lineRule="auto"/>
              <w:ind w:left="113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 xml:space="preserve"> “A quelle fréquence avez-vous des infections urinaires ?”</w:t>
            </w:r>
          </w:p>
          <w:p w14:paraId="76F612E5" w14:textId="77777777" w:rsidR="00023A02" w:rsidRDefault="00000000">
            <w:pPr>
              <w:spacing w:line="240" w:lineRule="auto"/>
              <w:ind w:left="113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“Avez-vous souvent des inflammations ou douleurs chroniques ?”</w:t>
            </w:r>
          </w:p>
          <w:p w14:paraId="593FE163" w14:textId="77777777" w:rsidR="00023A02" w:rsidRDefault="00000000">
            <w:pPr>
              <w:spacing w:line="240" w:lineRule="auto"/>
              <w:ind w:left="113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“Avez-vous suivi des traitements antibiotiques ?”</w:t>
            </w:r>
          </w:p>
          <w:p w14:paraId="02B67919" w14:textId="77777777" w:rsidR="00023A02" w:rsidRDefault="00000000">
            <w:pPr>
              <w:spacing w:line="240" w:lineRule="auto"/>
              <w:ind w:left="113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“Avez-vous réalisé un ECBU dernièrement ?”</w:t>
            </w:r>
          </w:p>
          <w:p w14:paraId="2D50574D" w14:textId="77777777" w:rsidR="00023A02" w:rsidRDefault="00000000">
            <w:pPr>
              <w:spacing w:line="240" w:lineRule="auto"/>
              <w:ind w:left="113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“Ressentez-vous un lien entre votre digestion et vos symptômes pelviens ?”</w:t>
            </w:r>
          </w:p>
        </w:tc>
      </w:tr>
      <w:tr w:rsidR="00023A02" w14:paraId="523D758E" w14:textId="77777777">
        <w:tc>
          <w:tcPr>
            <w:tcW w:w="1500" w:type="dxa"/>
          </w:tcPr>
          <w:p w14:paraId="5B6BC3E1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96B24"/>
              </w:rPr>
            </w:pPr>
            <w:r>
              <w:rPr>
                <w:rFonts w:ascii="Aptos" w:eastAsia="Aptos" w:hAnsi="Aptos" w:cs="Aptos"/>
                <w:b/>
                <w:bCs/>
                <w:color w:val="196B24"/>
              </w:rPr>
              <w:lastRenderedPageBreak/>
              <w:t>Bilans</w:t>
            </w:r>
          </w:p>
        </w:tc>
        <w:tc>
          <w:tcPr>
            <w:tcW w:w="8960" w:type="dxa"/>
          </w:tcPr>
          <w:p w14:paraId="504675C4" w14:textId="77777777" w:rsidR="00023A02" w:rsidRDefault="00000000">
            <w:pPr>
              <w:numPr>
                <w:ilvl w:val="0"/>
                <w:numId w:val="6"/>
              </w:num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 xml:space="preserve">Le bilan du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statut en acides gras</w:t>
            </w:r>
            <w:r>
              <w:rPr>
                <w:rFonts w:ascii="Aptos" w:eastAsia="Aptos" w:hAnsi="Aptos" w:cs="Aptos"/>
                <w:sz w:val="20"/>
                <w:szCs w:val="20"/>
              </w:rPr>
              <w:t xml:space="preserve"> pour évaluer l’inflammation avec le rapport AA/EPA </w:t>
            </w:r>
          </w:p>
          <w:p w14:paraId="3A20B0AD" w14:textId="77777777" w:rsidR="00023A02" w:rsidRDefault="00000000">
            <w:pPr>
              <w:numPr>
                <w:ilvl w:val="0"/>
                <w:numId w:val="5"/>
              </w:num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 xml:space="preserve">La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zonuline</w:t>
            </w:r>
            <w:proofErr w:type="spellEnd"/>
            <w:r>
              <w:rPr>
                <w:rFonts w:ascii="Aptos" w:eastAsia="Aptos" w:hAnsi="Aptos" w:cs="Aptos"/>
                <w:sz w:val="20"/>
                <w:szCs w:val="20"/>
              </w:rPr>
              <w:t xml:space="preserve"> pour évaluer la perméabilité intestinale </w:t>
            </w:r>
          </w:p>
          <w:p w14:paraId="1326B9D6" w14:textId="77777777" w:rsidR="00023A02" w:rsidRDefault="00000000">
            <w:pPr>
              <w:numPr>
                <w:ilvl w:val="0"/>
                <w:numId w:val="5"/>
              </w:num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 xml:space="preserve">Le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microbiote intestinal</w:t>
            </w:r>
            <w:r>
              <w:rPr>
                <w:rFonts w:ascii="Aptos" w:eastAsia="Aptos" w:hAnsi="Aptos" w:cs="Aptos"/>
                <w:sz w:val="20"/>
                <w:szCs w:val="20"/>
              </w:rPr>
              <w:t xml:space="preserve"> pour évaluer la diversité du microbiote</w:t>
            </w:r>
          </w:p>
          <w:p w14:paraId="4FB40A2D" w14:textId="77777777" w:rsidR="00023A02" w:rsidRDefault="00000000">
            <w:pPr>
              <w:numPr>
                <w:ilvl w:val="0"/>
                <w:numId w:val="5"/>
              </w:num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L’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ECBU</w:t>
            </w:r>
            <w:r>
              <w:rPr>
                <w:rFonts w:ascii="Aptos" w:eastAsia="Aptos" w:hAnsi="Aptos" w:cs="Aptos"/>
                <w:sz w:val="20"/>
                <w:szCs w:val="20"/>
              </w:rPr>
              <w:t xml:space="preserve"> pour détecter une infection urinaire bactérienne et identifier le germe</w:t>
            </w:r>
          </w:p>
          <w:p w14:paraId="48F74C78" w14:textId="77777777" w:rsidR="00023A02" w:rsidRDefault="00023A02">
            <w:pPr>
              <w:numPr>
                <w:ilvl w:val="0"/>
                <w:numId w:val="5"/>
              </w:num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</w:tr>
      <w:tr w:rsidR="00023A02" w14:paraId="370FD89D" w14:textId="77777777">
        <w:tc>
          <w:tcPr>
            <w:tcW w:w="1500" w:type="dxa"/>
          </w:tcPr>
          <w:p w14:paraId="1AD399E3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96B24"/>
              </w:rPr>
            </w:pPr>
            <w:r>
              <w:rPr>
                <w:rFonts w:ascii="Aptos" w:eastAsia="Aptos" w:hAnsi="Aptos" w:cs="Aptos"/>
                <w:b/>
                <w:bCs/>
                <w:color w:val="196B24"/>
              </w:rPr>
              <w:t>Allopathie préventive</w:t>
            </w:r>
          </w:p>
        </w:tc>
        <w:tc>
          <w:tcPr>
            <w:tcW w:w="8960" w:type="dxa"/>
          </w:tcPr>
          <w:p w14:paraId="42C35003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Objectif : Éliminer les germes pathogènes au niveau de la vessie. </w:t>
            </w:r>
          </w:p>
          <w:p w14:paraId="59E165EB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→ Antibiotiques (fluoroquinolones) pendant 4 à 6 semaines (efficace mais peut déstabiliser la flore intestinale)</w:t>
            </w:r>
          </w:p>
        </w:tc>
      </w:tr>
      <w:tr w:rsidR="00023A02" w14:paraId="2FB96DE5" w14:textId="77777777">
        <w:tc>
          <w:tcPr>
            <w:tcW w:w="1500" w:type="dxa"/>
          </w:tcPr>
          <w:p w14:paraId="75F5DC9E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96B24"/>
              </w:rPr>
            </w:pPr>
            <w:r>
              <w:rPr>
                <w:rFonts w:ascii="Aptos" w:eastAsia="Aptos" w:hAnsi="Aptos" w:cs="Aptos"/>
                <w:b/>
                <w:bCs/>
                <w:color w:val="196B24"/>
              </w:rPr>
              <w:t>Naturopathie préventive</w:t>
            </w:r>
          </w:p>
        </w:tc>
        <w:tc>
          <w:tcPr>
            <w:tcW w:w="8960" w:type="dxa"/>
          </w:tcPr>
          <w:p w14:paraId="741D9494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Objectif : Éliminer les germes pathogènes au niveau de la vessie de façon à éviter les récidives en rééquilibrant la flore intestinale et en renforçant la barrière intestinale.</w:t>
            </w:r>
          </w:p>
          <w:p w14:paraId="2DD9E349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→ Même accompagnement que pour la cystite (moins efficace que les antibiotiques mais préserve la flore intestinale).</w:t>
            </w:r>
          </w:p>
          <w:p w14:paraId="1AF12231" w14:textId="77777777" w:rsidR="00023A02" w:rsidRDefault="00023A02">
            <w:pPr>
              <w:spacing w:line="240" w:lineRule="auto"/>
              <w:ind w:left="226" w:hanging="113"/>
              <w:rPr>
                <w:rFonts w:ascii="Aptos" w:eastAsia="Aptos" w:hAnsi="Aptos" w:cs="Aptos"/>
              </w:rPr>
            </w:pPr>
          </w:p>
        </w:tc>
      </w:tr>
      <w:tr w:rsidR="00023A02" w14:paraId="64B8B54E" w14:textId="77777777">
        <w:tc>
          <w:tcPr>
            <w:tcW w:w="1500" w:type="dxa"/>
          </w:tcPr>
          <w:p w14:paraId="77B9B797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96B24"/>
              </w:rPr>
            </w:pPr>
            <w:r>
              <w:rPr>
                <w:rFonts w:ascii="Aptos" w:eastAsia="Aptos" w:hAnsi="Aptos" w:cs="Aptos"/>
                <w:b/>
                <w:bCs/>
                <w:color w:val="196B24"/>
              </w:rPr>
              <w:t>Bilans/tests Naturopathiques</w:t>
            </w:r>
          </w:p>
        </w:tc>
        <w:tc>
          <w:tcPr>
            <w:tcW w:w="8960" w:type="dxa"/>
          </w:tcPr>
          <w:p w14:paraId="2AC50E0C" w14:textId="77777777" w:rsidR="00023A02" w:rsidRDefault="00023A02">
            <w:pPr>
              <w:spacing w:line="240" w:lineRule="auto"/>
              <w:ind w:left="113"/>
              <w:rPr>
                <w:rFonts w:ascii="Aptos" w:eastAsia="Aptos" w:hAnsi="Aptos" w:cs="Aptos"/>
                <w:sz w:val="20"/>
                <w:szCs w:val="20"/>
              </w:rPr>
            </w:pPr>
          </w:p>
        </w:tc>
      </w:tr>
    </w:tbl>
    <w:p w14:paraId="1D104E1A" w14:textId="77777777" w:rsidR="00023A02" w:rsidRDefault="00000000">
      <w:pPr>
        <w:spacing w:line="240" w:lineRule="auto"/>
        <w:jc w:val="center"/>
        <w:rPr>
          <w:rFonts w:ascii="Aptos" w:eastAsia="Aptos" w:hAnsi="Aptos" w:cs="Aptos"/>
          <w:b/>
          <w:bCs/>
          <w:color w:val="156082"/>
          <w:sz w:val="28"/>
          <w:szCs w:val="28"/>
        </w:rPr>
      </w:pPr>
      <w:r>
        <w:rPr>
          <w:rFonts w:ascii="Aptos" w:eastAsia="Aptos" w:hAnsi="Aptos" w:cs="Aptos"/>
          <w:b/>
          <w:bCs/>
          <w:color w:val="156082"/>
          <w:sz w:val="28"/>
          <w:szCs w:val="28"/>
        </w:rPr>
        <w:t>HYGIÈNE DE VIE</w:t>
      </w:r>
    </w:p>
    <w:p w14:paraId="1590E9FB" w14:textId="77777777" w:rsidR="00023A02" w:rsidRDefault="00023A02">
      <w:pPr>
        <w:spacing w:line="240" w:lineRule="auto"/>
        <w:jc w:val="center"/>
        <w:rPr>
          <w:rFonts w:ascii="Aptos" w:eastAsia="Aptos" w:hAnsi="Aptos" w:cs="Aptos"/>
          <w:b/>
          <w:bCs/>
          <w:color w:val="156082"/>
          <w:sz w:val="28"/>
          <w:szCs w:val="28"/>
        </w:rPr>
      </w:pPr>
    </w:p>
    <w:tbl>
      <w:tblPr>
        <w:tblStyle w:val="a1"/>
        <w:tblW w:w="104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8960"/>
      </w:tblGrid>
      <w:tr w:rsidR="00023A02" w14:paraId="6C472B18" w14:textId="77777777">
        <w:tc>
          <w:tcPr>
            <w:tcW w:w="1500" w:type="dxa"/>
          </w:tcPr>
          <w:p w14:paraId="736CEDF0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56082"/>
              </w:rPr>
            </w:pPr>
            <w:r>
              <w:rPr>
                <w:rFonts w:ascii="Aptos" w:eastAsia="Aptos" w:hAnsi="Aptos" w:cs="Aptos"/>
                <w:b/>
                <w:bCs/>
                <w:color w:val="156082"/>
              </w:rPr>
              <w:t xml:space="preserve">Conseils hygiéno-diététiques </w:t>
            </w:r>
          </w:p>
          <w:p w14:paraId="34F11363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i/>
                <w:iCs/>
                <w:color w:val="156082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i/>
                <w:iCs/>
                <w:color w:val="0F9ED5"/>
              </w:rPr>
              <w:t>DIET (Détoxification – Biotransformation)</w:t>
            </w:r>
          </w:p>
        </w:tc>
        <w:tc>
          <w:tcPr>
            <w:tcW w:w="8960" w:type="dxa"/>
          </w:tcPr>
          <w:p w14:paraId="1F8198E7" w14:textId="77777777" w:rsidR="00023A02" w:rsidRDefault="00000000">
            <w:pPr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Boire suffisamment d’eau.</w:t>
            </w:r>
          </w:p>
          <w:p w14:paraId="49D3AAE3" w14:textId="77777777" w:rsidR="00023A02" w:rsidRDefault="00000000">
            <w:pPr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Éviter l’alcool, le café et les boissons irritantes.</w:t>
            </w:r>
          </w:p>
          <w:p w14:paraId="584F9F8E" w14:textId="77777777" w:rsidR="00023A02" w:rsidRDefault="00000000">
            <w:pPr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Limiter les épices.</w:t>
            </w:r>
          </w:p>
          <w:p w14:paraId="01A8E34E" w14:textId="77777777" w:rsidR="00023A02" w:rsidRDefault="00000000">
            <w:pPr>
              <w:numPr>
                <w:ilvl w:val="0"/>
                <w:numId w:val="4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Éviter les longues positions assises. Utiliser un coussin ergonomique si besoin.</w:t>
            </w:r>
          </w:p>
          <w:p w14:paraId="4724DD36" w14:textId="77777777" w:rsidR="00023A02" w:rsidRDefault="00023A02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</w:tr>
      <w:tr w:rsidR="00023A02" w14:paraId="47198DD0" w14:textId="77777777">
        <w:tc>
          <w:tcPr>
            <w:tcW w:w="1500" w:type="dxa"/>
          </w:tcPr>
          <w:p w14:paraId="014D3228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56082"/>
              </w:rPr>
            </w:pPr>
            <w:r>
              <w:rPr>
                <w:rFonts w:ascii="Aptos" w:eastAsia="Aptos" w:hAnsi="Aptos" w:cs="Aptos"/>
                <w:b/>
                <w:bCs/>
                <w:color w:val="156082"/>
              </w:rPr>
              <w:t xml:space="preserve">Conseils </w:t>
            </w:r>
            <w:proofErr w:type="gramStart"/>
            <w:r>
              <w:rPr>
                <w:rFonts w:ascii="Aptos" w:eastAsia="Aptos" w:hAnsi="Aptos" w:cs="Aptos"/>
                <w:b/>
                <w:bCs/>
                <w:color w:val="156082"/>
              </w:rPr>
              <w:t>nutritionnels  (</w:t>
            </w:r>
            <w:proofErr w:type="gramEnd"/>
            <w:r>
              <w:rPr>
                <w:rFonts w:ascii="Aptos" w:eastAsia="Aptos" w:hAnsi="Aptos" w:cs="Aptos"/>
                <w:b/>
                <w:bCs/>
                <w:color w:val="156082"/>
              </w:rPr>
              <w:t xml:space="preserve">rééquilibrage, régimes, Superaliments, Huiles, </w:t>
            </w:r>
            <w:proofErr w:type="spellStart"/>
            <w:r>
              <w:rPr>
                <w:rFonts w:ascii="Aptos" w:eastAsia="Aptos" w:hAnsi="Aptos" w:cs="Aptos"/>
                <w:b/>
                <w:bCs/>
                <w:color w:val="156082"/>
              </w:rPr>
              <w:t>Prds</w:t>
            </w:r>
            <w:proofErr w:type="spellEnd"/>
            <w:r>
              <w:rPr>
                <w:rFonts w:ascii="Aptos" w:eastAsia="Aptos" w:hAnsi="Aptos" w:cs="Aptos"/>
                <w:b/>
                <w:bCs/>
                <w:color w:val="156082"/>
              </w:rPr>
              <w:t xml:space="preserve"> mer, outils – appareils…)</w:t>
            </w:r>
          </w:p>
          <w:p w14:paraId="0989D485" w14:textId="77777777" w:rsidR="00023A02" w:rsidRDefault="00023A02">
            <w:pPr>
              <w:spacing w:line="240" w:lineRule="auto"/>
              <w:rPr>
                <w:rFonts w:ascii="Aptos" w:eastAsia="Aptos" w:hAnsi="Aptos" w:cs="Aptos"/>
                <w:b/>
                <w:bCs/>
                <w:color w:val="156082"/>
              </w:rPr>
            </w:pPr>
          </w:p>
        </w:tc>
        <w:tc>
          <w:tcPr>
            <w:tcW w:w="8960" w:type="dxa"/>
          </w:tcPr>
          <w:p w14:paraId="07AA9756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 xml:space="preserve">Alimentation anti-inflammatoire et </w:t>
            </w:r>
            <w:proofErr w:type="spellStart"/>
            <w:r>
              <w:rPr>
                <w:rFonts w:ascii="Aptos" w:eastAsia="Aptos" w:hAnsi="Aptos" w:cs="Aptos"/>
                <w:sz w:val="20"/>
                <w:szCs w:val="20"/>
              </w:rPr>
              <w:t>alcalinisante</w:t>
            </w:r>
            <w:proofErr w:type="spellEnd"/>
            <w:r>
              <w:rPr>
                <w:rFonts w:ascii="Aptos" w:eastAsia="Aptos" w:hAnsi="Aptos" w:cs="Aptos"/>
                <w:sz w:val="20"/>
                <w:szCs w:val="20"/>
              </w:rPr>
              <w:t>.</w:t>
            </w:r>
          </w:p>
          <w:p w14:paraId="367C72E1" w14:textId="77777777" w:rsidR="00023A02" w:rsidRDefault="00023A02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5F4FFF82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 xml:space="preserve">« Nettoyage » de l’intestin à chaque changement de saison. </w:t>
            </w:r>
          </w:p>
          <w:p w14:paraId="1B0A179D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 xml:space="preserve">Préconisations à adapter en fonction du système digestif du </w:t>
            </w:r>
            <w:proofErr w:type="gramStart"/>
            <w:r>
              <w:rPr>
                <w:rFonts w:ascii="Aptos" w:eastAsia="Aptos" w:hAnsi="Aptos" w:cs="Aptos"/>
                <w:sz w:val="20"/>
                <w:szCs w:val="20"/>
              </w:rPr>
              <w:t>consultant:</w:t>
            </w:r>
            <w:proofErr w:type="gramEnd"/>
          </w:p>
          <w:p w14:paraId="6D389F66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→ Argile, Chlorophylle, Aloe Vera, Charbon végétal</w:t>
            </w:r>
          </w:p>
          <w:p w14:paraId="30480331" w14:textId="77777777" w:rsidR="00023A02" w:rsidRDefault="00023A02">
            <w:pPr>
              <w:spacing w:line="240" w:lineRule="auto"/>
              <w:ind w:left="720"/>
              <w:rPr>
                <w:rFonts w:ascii="Aptos" w:eastAsia="Aptos" w:hAnsi="Aptos" w:cs="Aptos"/>
                <w:sz w:val="20"/>
                <w:szCs w:val="20"/>
              </w:rPr>
            </w:pPr>
          </w:p>
          <w:p w14:paraId="55AF4172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Renforcement de la barrière intestinale.</w:t>
            </w:r>
          </w:p>
          <w:p w14:paraId="3F6E99AA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 xml:space="preserve">→ L-glutamine, Zn, L-thréonine, Quercétine, vitamine A. </w:t>
            </w:r>
          </w:p>
          <w:p w14:paraId="1109F424" w14:textId="77777777" w:rsidR="00023A02" w:rsidRDefault="00023A02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45E7B356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 xml:space="preserve">Maintien d’une flore intestinale équilibrée dans le </w:t>
            </w:r>
            <w:proofErr w:type="gramStart"/>
            <w:r>
              <w:rPr>
                <w:rFonts w:ascii="Aptos" w:eastAsia="Aptos" w:hAnsi="Aptos" w:cs="Aptos"/>
                <w:sz w:val="20"/>
                <w:szCs w:val="20"/>
              </w:rPr>
              <w:t>temps  alimentation</w:t>
            </w:r>
            <w:proofErr w:type="gramEnd"/>
            <w:r>
              <w:rPr>
                <w:rFonts w:ascii="Aptos" w:eastAsia="Aptos" w:hAnsi="Aptos" w:cs="Aptos"/>
                <w:sz w:val="20"/>
                <w:szCs w:val="20"/>
              </w:rPr>
              <w:t xml:space="preserve"> symbiotique + compléments probiotiques et prébiotiques)</w:t>
            </w:r>
          </w:p>
          <w:p w14:paraId="64D7D52A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 xml:space="preserve">→ Poireau, topinambour, chicorée, banane, ail, légumineuses, pomme de terre, céréales complètes, avoine… </w:t>
            </w:r>
          </w:p>
        </w:tc>
      </w:tr>
      <w:tr w:rsidR="00023A02" w14:paraId="30BFA6FA" w14:textId="77777777">
        <w:tc>
          <w:tcPr>
            <w:tcW w:w="1500" w:type="dxa"/>
          </w:tcPr>
          <w:p w14:paraId="3A62516F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i/>
                <w:iCs/>
                <w:color w:val="156082"/>
              </w:rPr>
            </w:pPr>
            <w:r>
              <w:rPr>
                <w:rFonts w:ascii="Aptos" w:eastAsia="Aptos" w:hAnsi="Aptos" w:cs="Aptos"/>
                <w:b/>
                <w:bCs/>
                <w:i/>
                <w:iCs/>
                <w:color w:val="0F9ED5"/>
              </w:rPr>
              <w:t>Détoxification – Biotransformation (DIET)</w:t>
            </w:r>
          </w:p>
        </w:tc>
        <w:tc>
          <w:tcPr>
            <w:tcW w:w="8960" w:type="dxa"/>
          </w:tcPr>
          <w:p w14:paraId="68DAE63D" w14:textId="77777777" w:rsidR="00023A02" w:rsidRDefault="00023A02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</w:tr>
      <w:tr w:rsidR="00023A02" w14:paraId="769BC098" w14:textId="77777777">
        <w:tc>
          <w:tcPr>
            <w:tcW w:w="1500" w:type="dxa"/>
          </w:tcPr>
          <w:p w14:paraId="43757F1D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56082"/>
              </w:rPr>
            </w:pPr>
            <w:r>
              <w:rPr>
                <w:rFonts w:ascii="Aptos" w:eastAsia="Aptos" w:hAnsi="Aptos" w:cs="Aptos"/>
                <w:b/>
                <w:bCs/>
                <w:color w:val="156082"/>
              </w:rPr>
              <w:t>Activité physique</w:t>
            </w:r>
          </w:p>
        </w:tc>
        <w:tc>
          <w:tcPr>
            <w:tcW w:w="8960" w:type="dxa"/>
          </w:tcPr>
          <w:p w14:paraId="0D9A6184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L'activité physique aide à réguler les niveaux hormonaux, à réduire l'inflammation et à améliorer la circulation sanguine. Il est recommandé de faire au moins 30 minutes d'exercice modéré par jour, comme la marche rapide, le vélo ou la natation.</w:t>
            </w:r>
          </w:p>
        </w:tc>
      </w:tr>
      <w:tr w:rsidR="00023A02" w14:paraId="6178CBB8" w14:textId="77777777">
        <w:tc>
          <w:tcPr>
            <w:tcW w:w="1500" w:type="dxa"/>
          </w:tcPr>
          <w:p w14:paraId="50387789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56082"/>
              </w:rPr>
            </w:pPr>
            <w:r>
              <w:rPr>
                <w:rFonts w:ascii="Aptos" w:eastAsia="Aptos" w:hAnsi="Aptos" w:cs="Aptos"/>
                <w:b/>
                <w:bCs/>
                <w:i/>
                <w:iCs/>
                <w:color w:val="80350D"/>
              </w:rPr>
              <w:t>PSY</w:t>
            </w:r>
            <w:r>
              <w:rPr>
                <w:rFonts w:ascii="Aptos" w:eastAsia="Aptos" w:hAnsi="Aptos" w:cs="Aptos"/>
                <w:b/>
                <w:bCs/>
                <w:color w:val="156082"/>
              </w:rPr>
              <w:t xml:space="preserve"> - Hygiène psycho-émotionnelle</w:t>
            </w:r>
          </w:p>
        </w:tc>
        <w:tc>
          <w:tcPr>
            <w:tcW w:w="8960" w:type="dxa"/>
          </w:tcPr>
          <w:p w14:paraId="214EA767" w14:textId="77777777" w:rsidR="00023A02" w:rsidRDefault="00000000">
            <w:pPr>
              <w:spacing w:line="240" w:lineRule="auto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T</w:t>
            </w:r>
            <w:r>
              <w:rPr>
                <w:rFonts w:ascii="Aptos" w:eastAsia="Aptos" w:hAnsi="Aptos" w:cs="Aptos"/>
                <w:sz w:val="20"/>
                <w:szCs w:val="20"/>
              </w:rPr>
              <w:t>echniques de gestion du stress → Méditation, yoga, respiration profonde, relaxation progressive.</w:t>
            </w:r>
          </w:p>
        </w:tc>
      </w:tr>
      <w:tr w:rsidR="00023A02" w14:paraId="347729B9" w14:textId="77777777">
        <w:tc>
          <w:tcPr>
            <w:tcW w:w="1500" w:type="dxa"/>
          </w:tcPr>
          <w:p w14:paraId="722C3F9C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56082"/>
              </w:rPr>
            </w:pPr>
            <w:r>
              <w:rPr>
                <w:rFonts w:ascii="Aptos" w:eastAsia="Aptos" w:hAnsi="Aptos" w:cs="Aptos"/>
                <w:b/>
                <w:bCs/>
                <w:color w:val="156082"/>
              </w:rPr>
              <w:lastRenderedPageBreak/>
              <w:t>Hydrologie</w:t>
            </w:r>
          </w:p>
        </w:tc>
        <w:tc>
          <w:tcPr>
            <w:tcW w:w="8960" w:type="dxa"/>
          </w:tcPr>
          <w:p w14:paraId="269147D9" w14:textId="77777777" w:rsidR="00023A02" w:rsidRDefault="00000000">
            <w:pPr>
              <w:shd w:val="clear" w:color="auto" w:fill="FFFFFF"/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Bains chauds ou bouillottes pour détendre les muscles du périnée.</w:t>
            </w:r>
          </w:p>
          <w:p w14:paraId="2E7E1332" w14:textId="77777777" w:rsidR="00023A02" w:rsidRDefault="00023A02">
            <w:pPr>
              <w:shd w:val="clear" w:color="auto" w:fill="FFFFFF"/>
              <w:spacing w:line="240" w:lineRule="auto"/>
              <w:rPr>
                <w:sz w:val="24"/>
                <w:szCs w:val="24"/>
              </w:rPr>
            </w:pPr>
          </w:p>
          <w:p w14:paraId="35B323F4" w14:textId="77777777" w:rsidR="00023A02" w:rsidRDefault="00023A02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</w:tr>
      <w:tr w:rsidR="00023A02" w14:paraId="320BABB5" w14:textId="77777777">
        <w:tc>
          <w:tcPr>
            <w:tcW w:w="1500" w:type="dxa"/>
          </w:tcPr>
          <w:p w14:paraId="5A886F21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56082"/>
              </w:rPr>
            </w:pPr>
            <w:r>
              <w:rPr>
                <w:rFonts w:ascii="Aptos" w:eastAsia="Aptos" w:hAnsi="Aptos" w:cs="Aptos"/>
                <w:b/>
                <w:bCs/>
                <w:color w:val="156082"/>
              </w:rPr>
              <w:t>Phytologie</w:t>
            </w:r>
          </w:p>
        </w:tc>
        <w:tc>
          <w:tcPr>
            <w:tcW w:w="8960" w:type="dxa"/>
          </w:tcPr>
          <w:p w14:paraId="3F1C256C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Plantes diurétiques : Piloselle, orthosiphon, reine des prés.</w:t>
            </w:r>
          </w:p>
          <w:p w14:paraId="35D4714F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Autres plantes pour prendre soin de sa prostate : Palmier nain, orties.</w:t>
            </w:r>
          </w:p>
        </w:tc>
      </w:tr>
      <w:tr w:rsidR="00023A02" w14:paraId="43F5C455" w14:textId="77777777">
        <w:tc>
          <w:tcPr>
            <w:tcW w:w="1500" w:type="dxa"/>
          </w:tcPr>
          <w:p w14:paraId="04C70797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56082"/>
              </w:rPr>
            </w:pPr>
            <w:proofErr w:type="spellStart"/>
            <w:r>
              <w:rPr>
                <w:rFonts w:ascii="Aptos" w:eastAsia="Aptos" w:hAnsi="Aptos" w:cs="Aptos"/>
                <w:b/>
                <w:bCs/>
                <w:color w:val="156082"/>
              </w:rPr>
              <w:t>Aromatologie</w:t>
            </w:r>
            <w:proofErr w:type="spellEnd"/>
          </w:p>
        </w:tc>
        <w:tc>
          <w:tcPr>
            <w:tcW w:w="8960" w:type="dxa"/>
          </w:tcPr>
          <w:p w14:paraId="627ACE3F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 xml:space="preserve">Complexe d’HE antibactériennes dès les premiers </w:t>
            </w:r>
            <w:proofErr w:type="gramStart"/>
            <w:r>
              <w:rPr>
                <w:rFonts w:ascii="Aptos" w:eastAsia="Aptos" w:hAnsi="Aptos" w:cs="Aptos"/>
                <w:sz w:val="20"/>
                <w:szCs w:val="20"/>
              </w:rPr>
              <w:t>symptômes:</w:t>
            </w:r>
            <w:proofErr w:type="gramEnd"/>
          </w:p>
          <w:p w14:paraId="1C472F0A" w14:textId="77777777" w:rsidR="00023A02" w:rsidRDefault="00000000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Huile de cameline</w:t>
            </w:r>
          </w:p>
          <w:p w14:paraId="71E4588A" w14:textId="77777777" w:rsidR="00023A02" w:rsidRDefault="00000000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HE de girofle</w:t>
            </w:r>
          </w:p>
          <w:p w14:paraId="60259207" w14:textId="77777777" w:rsidR="00023A02" w:rsidRDefault="00000000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 xml:space="preserve">HE de cannelle </w:t>
            </w:r>
          </w:p>
          <w:p w14:paraId="1C6005F7" w14:textId="77777777" w:rsidR="00023A02" w:rsidRDefault="00000000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HE de citron</w:t>
            </w:r>
          </w:p>
          <w:p w14:paraId="2AD18C07" w14:textId="77777777" w:rsidR="00023A02" w:rsidRDefault="00000000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HE d’origan</w:t>
            </w:r>
          </w:p>
        </w:tc>
      </w:tr>
      <w:tr w:rsidR="00023A02" w14:paraId="4E5CBCC9" w14:textId="77777777">
        <w:tc>
          <w:tcPr>
            <w:tcW w:w="1500" w:type="dxa"/>
          </w:tcPr>
          <w:p w14:paraId="4679B7E9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56082"/>
              </w:rPr>
            </w:pPr>
            <w:r>
              <w:rPr>
                <w:rFonts w:ascii="Aptos" w:eastAsia="Aptos" w:hAnsi="Aptos" w:cs="Aptos"/>
                <w:b/>
                <w:bCs/>
                <w:color w:val="156082"/>
              </w:rPr>
              <w:t xml:space="preserve">Gemmothérapie </w:t>
            </w:r>
          </w:p>
        </w:tc>
        <w:tc>
          <w:tcPr>
            <w:tcW w:w="8960" w:type="dxa"/>
          </w:tcPr>
          <w:p w14:paraId="469146FA" w14:textId="77777777" w:rsidR="00023A02" w:rsidRDefault="00023A02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</w:tr>
      <w:tr w:rsidR="00023A02" w14:paraId="46ACED72" w14:textId="77777777">
        <w:tc>
          <w:tcPr>
            <w:tcW w:w="1500" w:type="dxa"/>
          </w:tcPr>
          <w:p w14:paraId="56C34E4C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56082"/>
              </w:rPr>
            </w:pPr>
            <w:r>
              <w:rPr>
                <w:rFonts w:ascii="Aptos" w:eastAsia="Aptos" w:hAnsi="Aptos" w:cs="Aptos"/>
                <w:b/>
                <w:bCs/>
                <w:color w:val="156082"/>
              </w:rPr>
              <w:t>C.A</w:t>
            </w:r>
          </w:p>
        </w:tc>
        <w:tc>
          <w:tcPr>
            <w:tcW w:w="8960" w:type="dxa"/>
          </w:tcPr>
          <w:p w14:paraId="1D9FAD4D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  <w:u w:val="single"/>
              </w:rPr>
              <w:t>D-</w:t>
            </w:r>
            <w:proofErr w:type="gramStart"/>
            <w:r>
              <w:rPr>
                <w:rFonts w:ascii="Aptos" w:eastAsia="Aptos" w:hAnsi="Aptos" w:cs="Aptos"/>
                <w:sz w:val="20"/>
                <w:szCs w:val="20"/>
                <w:u w:val="single"/>
              </w:rPr>
              <w:t>Mannose</w:t>
            </w:r>
            <w:r>
              <w:rPr>
                <w:rFonts w:ascii="Aptos" w:eastAsia="Aptos" w:hAnsi="Aptos" w:cs="Aptos"/>
                <w:sz w:val="20"/>
                <w:szCs w:val="20"/>
              </w:rPr>
              <w:t>:</w:t>
            </w:r>
            <w:proofErr w:type="gramEnd"/>
            <w:r>
              <w:rPr>
                <w:rFonts w:ascii="Aptos" w:eastAsia="Aptos" w:hAnsi="Aptos" w:cs="Aptos"/>
                <w:sz w:val="20"/>
                <w:szCs w:val="20"/>
              </w:rPr>
              <w:t xml:space="preserve"> Complément à base de canneberge </w:t>
            </w:r>
          </w:p>
          <w:p w14:paraId="11C827D6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Huile de pépins de courge : Riche en composés anti-inflammatoires et antioxydants</w:t>
            </w:r>
          </w:p>
        </w:tc>
      </w:tr>
      <w:tr w:rsidR="00023A02" w14:paraId="775A1530" w14:textId="77777777">
        <w:tc>
          <w:tcPr>
            <w:tcW w:w="1500" w:type="dxa"/>
          </w:tcPr>
          <w:p w14:paraId="731E0ACC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56082"/>
              </w:rPr>
            </w:pPr>
            <w:proofErr w:type="spellStart"/>
            <w:r>
              <w:rPr>
                <w:rFonts w:ascii="Aptos" w:eastAsia="Aptos" w:hAnsi="Aptos" w:cs="Aptos"/>
                <w:b/>
                <w:bCs/>
                <w:color w:val="156082"/>
              </w:rPr>
              <w:t>Pdrs</w:t>
            </w:r>
            <w:proofErr w:type="spellEnd"/>
            <w:r>
              <w:rPr>
                <w:rFonts w:ascii="Aptos" w:eastAsia="Aptos" w:hAnsi="Aptos" w:cs="Aptos"/>
                <w:b/>
                <w:bCs/>
                <w:color w:val="156082"/>
              </w:rPr>
              <w:t xml:space="preserve"> de la mer</w:t>
            </w:r>
          </w:p>
        </w:tc>
        <w:tc>
          <w:tcPr>
            <w:tcW w:w="8960" w:type="dxa"/>
          </w:tcPr>
          <w:p w14:paraId="629132E3" w14:textId="77777777" w:rsidR="00023A02" w:rsidRDefault="00023A02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</w:tr>
      <w:tr w:rsidR="00023A02" w14:paraId="3901F7BE" w14:textId="77777777">
        <w:tc>
          <w:tcPr>
            <w:tcW w:w="1500" w:type="dxa"/>
          </w:tcPr>
          <w:p w14:paraId="55EBD3C3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56082"/>
              </w:rPr>
            </w:pPr>
            <w:r>
              <w:rPr>
                <w:rFonts w:ascii="Aptos" w:eastAsia="Aptos" w:hAnsi="Aptos" w:cs="Aptos"/>
                <w:b/>
                <w:bCs/>
                <w:color w:val="156082"/>
              </w:rPr>
              <w:t xml:space="preserve">Plantes – champignons </w:t>
            </w:r>
            <w:proofErr w:type="spellStart"/>
            <w:r>
              <w:rPr>
                <w:rFonts w:ascii="Aptos" w:eastAsia="Aptos" w:hAnsi="Aptos" w:cs="Aptos"/>
                <w:b/>
                <w:bCs/>
                <w:color w:val="156082"/>
              </w:rPr>
              <w:t>adaptogènes</w:t>
            </w:r>
            <w:proofErr w:type="spellEnd"/>
          </w:p>
        </w:tc>
        <w:tc>
          <w:tcPr>
            <w:tcW w:w="8960" w:type="dxa"/>
          </w:tcPr>
          <w:p w14:paraId="5327CD76" w14:textId="77777777" w:rsidR="00023A02" w:rsidRDefault="00023A02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</w:tr>
      <w:tr w:rsidR="00023A02" w14:paraId="3216012B" w14:textId="77777777">
        <w:tc>
          <w:tcPr>
            <w:tcW w:w="1500" w:type="dxa"/>
          </w:tcPr>
          <w:p w14:paraId="1B89FFA1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56082"/>
              </w:rPr>
            </w:pPr>
            <w:r>
              <w:rPr>
                <w:rFonts w:ascii="Aptos" w:eastAsia="Aptos" w:hAnsi="Aptos" w:cs="Aptos"/>
                <w:b/>
                <w:bCs/>
                <w:color w:val="156082"/>
              </w:rPr>
              <w:t>Produits de la ruche</w:t>
            </w:r>
          </w:p>
        </w:tc>
        <w:tc>
          <w:tcPr>
            <w:tcW w:w="8960" w:type="dxa"/>
          </w:tcPr>
          <w:p w14:paraId="18208188" w14:textId="77777777" w:rsidR="00023A02" w:rsidRDefault="00023A02">
            <w:pPr>
              <w:spacing w:line="24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</w:tr>
      <w:tr w:rsidR="00023A02" w14:paraId="0BA96E62" w14:textId="77777777">
        <w:tc>
          <w:tcPr>
            <w:tcW w:w="1500" w:type="dxa"/>
          </w:tcPr>
          <w:p w14:paraId="1137A265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b/>
                <w:bCs/>
                <w:color w:val="156082"/>
              </w:rPr>
            </w:pPr>
            <w:r>
              <w:rPr>
                <w:rFonts w:ascii="Aptos" w:eastAsia="Aptos" w:hAnsi="Aptos" w:cs="Aptos"/>
                <w:b/>
                <w:bCs/>
                <w:color w:val="156082"/>
              </w:rPr>
              <w:t>Autres</w:t>
            </w:r>
          </w:p>
        </w:tc>
        <w:tc>
          <w:tcPr>
            <w:tcW w:w="8960" w:type="dxa"/>
          </w:tcPr>
          <w:p w14:paraId="1E5DB304" w14:textId="77777777" w:rsidR="00023A02" w:rsidRDefault="00000000">
            <w:pPr>
              <w:spacing w:line="240" w:lineRule="auto"/>
              <w:rPr>
                <w:rFonts w:ascii="Aptos" w:eastAsia="Aptos" w:hAnsi="Aptos" w:cs="Aptos"/>
                <w:color w:val="FF0000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 xml:space="preserve">Stimulation de la peau </w:t>
            </w:r>
            <w:r>
              <w:rPr>
                <w:rFonts w:ascii="Aptos" w:eastAsia="Aptos" w:hAnsi="Aptos" w:cs="Aptos"/>
                <w:color w:val="FF0000"/>
                <w:sz w:val="20"/>
                <w:szCs w:val="20"/>
              </w:rPr>
              <w:t xml:space="preserve">hors phase aigüe </w:t>
            </w:r>
            <w:r>
              <w:rPr>
                <w:rFonts w:ascii="Aptos" w:eastAsia="Aptos" w:hAnsi="Aptos" w:cs="Aptos"/>
                <w:sz w:val="20"/>
                <w:szCs w:val="20"/>
              </w:rPr>
              <w:t>si terrain acidifié (Sauna)</w:t>
            </w:r>
          </w:p>
        </w:tc>
      </w:tr>
    </w:tbl>
    <w:p w14:paraId="7DFC557A" w14:textId="77777777" w:rsidR="00023A02" w:rsidRDefault="00023A02">
      <w:pPr>
        <w:spacing w:line="240" w:lineRule="auto"/>
      </w:pPr>
    </w:p>
    <w:sectPr w:rsidR="00023A0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48E82B9-AE57-CB44-A5BB-6CA49B7E551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24F14CD8-2EE2-5242-9BDC-637F0B074C31}"/>
    <w:embedItalic r:id="rId3" w:fontKey="{708015D8-215B-A641-8854-099D4AE33C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4" w:fontKey="{7457565F-44F8-DD4F-A68D-61FE32163194}"/>
    <w:embedBold r:id="rId5" w:fontKey="{45B80AA6-0C3D-CC43-BA3F-6B5CA29524FB}"/>
    <w:embedBoldItalic r:id="rId6" w:fontKey="{65C2F940-4E54-614C-9608-17AF4E58FA16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CBC53876-AAC8-A343-8926-36A6F2D50E76}"/>
  </w:font>
  <w:font w:name="Cambria">
    <w:panose1 w:val="02040503050406030204"/>
    <w:charset w:val="00"/>
    <w:family w:val="roman"/>
    <w:notTrueType/>
    <w:pitch w:val="default"/>
    <w:embedRegular r:id="rId8" w:fontKey="{5DE7D5D9-78F8-654C-B84F-7E1211193A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36E92"/>
    <w:multiLevelType w:val="multilevel"/>
    <w:tmpl w:val="33B63B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68608F"/>
    <w:multiLevelType w:val="multilevel"/>
    <w:tmpl w:val="107E22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634CA7"/>
    <w:multiLevelType w:val="multilevel"/>
    <w:tmpl w:val="CF1AA9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8A04C6"/>
    <w:multiLevelType w:val="multilevel"/>
    <w:tmpl w:val="849A65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AD16A1"/>
    <w:multiLevelType w:val="multilevel"/>
    <w:tmpl w:val="8376E9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75406B"/>
    <w:multiLevelType w:val="multilevel"/>
    <w:tmpl w:val="1EB21E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84648438">
    <w:abstractNumId w:val="3"/>
  </w:num>
  <w:num w:numId="2" w16cid:durableId="1854953400">
    <w:abstractNumId w:val="4"/>
  </w:num>
  <w:num w:numId="3" w16cid:durableId="1938292788">
    <w:abstractNumId w:val="0"/>
  </w:num>
  <w:num w:numId="4" w16cid:durableId="213320677">
    <w:abstractNumId w:val="5"/>
  </w:num>
  <w:num w:numId="5" w16cid:durableId="1763455320">
    <w:abstractNumId w:val="2"/>
  </w:num>
  <w:num w:numId="6" w16cid:durableId="778257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A02"/>
    <w:rsid w:val="00023A02"/>
    <w:rsid w:val="00156146"/>
    <w:rsid w:val="0042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99A286"/>
  <w15:docId w15:val="{92DC67DE-DBB7-654B-8E6D-7A8ACEE3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679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Margaux Derville</cp:lastModifiedBy>
  <cp:revision>2</cp:revision>
  <dcterms:created xsi:type="dcterms:W3CDTF">2026-01-27T10:45:00Z</dcterms:created>
  <dcterms:modified xsi:type="dcterms:W3CDTF">2026-01-27T10:46:00Z</dcterms:modified>
</cp:coreProperties>
</file>