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13433"/>
      </w:tblGrid>
      <w:tr w14:paraId="0DB7F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7" w:hRule="atLeast"/>
        </w:trPr>
        <w:tc>
          <w:tcPr>
            <w:tcW w:w="2263" w:type="dxa"/>
          </w:tcPr>
          <w:p w14:paraId="7A4D9E02">
            <w:pPr>
              <w:rPr>
                <w:rFonts w:hint="default"/>
                <w:sz w:val="24"/>
                <w:szCs w:val="24"/>
                <w:lang w:val="fr-FR"/>
              </w:rPr>
            </w:pPr>
            <w:bookmarkStart w:id="0" w:name="_Hlk219562037"/>
            <w:bookmarkStart w:id="1" w:name="_Hlk219561751"/>
            <w:r>
              <w:rPr>
                <w:rFonts w:hint="default"/>
                <w:b/>
                <w:bCs/>
                <w:color w:val="E97132" w:themeColor="accent2"/>
                <w:sz w:val="32"/>
                <w:szCs w:val="32"/>
                <w:lang w:val="fr-FR"/>
                <w14:textFill>
                  <w14:solidFill>
                    <w14:schemeClr w14:val="accent2"/>
                  </w14:solidFill>
                </w14:textFill>
              </w:rPr>
              <w:t xml:space="preserve">Mycose vaginale </w:t>
            </w:r>
          </w:p>
          <w:p w14:paraId="0EB39DE1">
            <w:pPr>
              <w:rPr>
                <w:sz w:val="24"/>
                <w:szCs w:val="24"/>
              </w:rPr>
            </w:pPr>
          </w:p>
          <w:p w14:paraId="1BBC6AA0">
            <w:pPr>
              <w:rPr>
                <w:sz w:val="24"/>
                <w:szCs w:val="24"/>
              </w:rPr>
            </w:pPr>
          </w:p>
          <w:p w14:paraId="26534435">
            <w:pPr>
              <w:rPr>
                <w:sz w:val="24"/>
                <w:szCs w:val="24"/>
              </w:rPr>
            </w:pPr>
          </w:p>
          <w:p w14:paraId="636C750D">
            <w:pPr>
              <w:rPr>
                <w:sz w:val="24"/>
                <w:szCs w:val="24"/>
              </w:rPr>
            </w:pPr>
          </w:p>
          <w:p w14:paraId="52D35EB8">
            <w:pPr>
              <w:rPr>
                <w:b/>
                <w:bCs/>
                <w:sz w:val="24"/>
                <w:szCs w:val="24"/>
              </w:rPr>
            </w:pPr>
          </w:p>
          <w:p w14:paraId="11E5A15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433" w:type="dxa"/>
          </w:tcPr>
          <w:p w14:paraId="316C7BE6">
            <w:pPr>
              <w:rPr>
                <w:rFonts w:hint="default"/>
                <w:color w:val="156082" w:themeColor="accent1"/>
                <w:lang w:val="fr-FR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  <w:t xml:space="preserve">Définition : </w:t>
            </w:r>
            <w:r>
              <w:rPr>
                <w:rFonts w:hint="default"/>
                <w:b/>
                <w:bCs/>
                <w:color w:val="156082" w:themeColor="accent1"/>
                <w:lang w:val="fr-FR"/>
                <w14:textFill>
                  <w14:solidFill>
                    <w14:schemeClr w14:val="accent1"/>
                  </w14:solidFill>
                </w14:textFill>
              </w:rPr>
              <w:t xml:space="preserve">infection fongique due le plus souvent à une prolifération de levures du type Candida au niveau du vagin ou de la vulve. </w:t>
            </w:r>
          </w:p>
          <w:p w14:paraId="29D9FDD9">
            <w:pPr>
              <w:rPr>
                <w:b/>
                <w:bCs/>
              </w:rPr>
            </w:pPr>
          </w:p>
          <w:p w14:paraId="2AEC38C3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b/>
                <w:bCs/>
                <w:color w:val="E97132" w:themeColor="accent2"/>
                <w14:textFill>
                  <w14:solidFill>
                    <w14:schemeClr w14:val="accent2"/>
                  </w14:solidFill>
                </w14:textFill>
              </w:rPr>
              <w:t xml:space="preserve">Symptômes : </w:t>
            </w:r>
            <w:r>
              <w:rPr>
                <w:rFonts w:hint="default"/>
                <w:b/>
                <w:bCs/>
                <w:color w:val="E97132" w:themeColor="accent2"/>
                <w:lang w:val="fr-FR"/>
                <w14:textFill>
                  <w14:solidFill>
                    <w14:schemeClr w14:val="accent2"/>
                  </w14:solidFill>
                </w14:textFill>
              </w:rPr>
              <w:t>Démangeaisons, brûlures, irritations, rougeur, douleur/sensibilité, pertes blanches épaisses peu ou pas odorantes, rapports sexuels douloureux</w:t>
            </w:r>
          </w:p>
          <w:p w14:paraId="434A5CE4"/>
          <w:p w14:paraId="16DA7EAE">
            <w:pPr>
              <w:rPr>
                <w:rFonts w:hint="default"/>
                <w:color w:val="E97132" w:themeColor="accent2"/>
                <w:sz w:val="20"/>
                <w:szCs w:val="20"/>
                <w:lang w:val="fr-FR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b/>
                <w:bCs/>
                <w:color w:val="E97132" w:themeColor="accent2"/>
                <w14:textFill>
                  <w14:solidFill>
                    <w14:schemeClr w14:val="accent2"/>
                  </w14:solidFill>
                </w14:textFill>
              </w:rPr>
              <w:t xml:space="preserve">Liens systèmes : </w:t>
            </w:r>
            <w:r>
              <w:rPr>
                <w:rFonts w:hint="default"/>
                <w:b/>
                <w:bCs/>
                <w:color w:val="E97132" w:themeColor="accent2"/>
                <w:lang w:val="fr-FR"/>
                <w14:textFill>
                  <w14:solidFill>
                    <w14:schemeClr w14:val="accent2"/>
                  </w14:solidFill>
                </w14:textFill>
              </w:rPr>
              <w:t>Système uro-génital (microbiote+ pH), système immunitaire, système endocrinien</w:t>
            </w:r>
          </w:p>
          <w:p w14:paraId="573AA99C">
            <w:pPr>
              <w:rPr>
                <w:color w:val="E97132" w:themeColor="accent2"/>
                <w:sz w:val="20"/>
                <w:szCs w:val="20"/>
                <w14:textFill>
                  <w14:solidFill>
                    <w14:schemeClr w14:val="accent2"/>
                  </w14:solidFill>
                </w14:textFill>
              </w:rPr>
            </w:pPr>
          </w:p>
          <w:p w14:paraId="00899BB2">
            <w:pPr>
              <w:rPr>
                <w:b/>
                <w:bCs/>
                <w:i/>
                <w:iCs/>
                <w:color w:val="80350E" w:themeColor="accent2" w:themeShade="80"/>
              </w:rPr>
            </w:pPr>
          </w:p>
          <w:tbl>
            <w:tblPr>
              <w:tblStyle w:val="3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207"/>
            </w:tblGrid>
            <w:tr w14:paraId="17AE8A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348" w:type="dxa"/>
                </w:tcPr>
                <w:p w14:paraId="5240C248">
                  <w:pPr>
                    <w:rPr>
                      <w:rFonts w:hint="default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</w:pPr>
                  <w:r>
                    <w:rPr>
                      <w:b/>
                      <w:bCs/>
                      <w:i/>
                      <w:iCs/>
                      <w:color w:val="E97132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  <w:t xml:space="preserve">Digestion – Absorption (perméabilité intestinale, microbiote) : </w:t>
                  </w:r>
                  <w:r>
                    <w:rPr>
                      <w:rFonts w:hint="default"/>
                      <w:b/>
                      <w:bCs/>
                      <w:i/>
                      <w:iCs/>
                      <w:color w:val="E97132" w:themeColor="accent2"/>
                      <w:lang w:val="fr-FR"/>
                      <w14:textFill>
                        <w14:solidFill>
                          <w14:schemeClr w14:val="accent2"/>
                        </w14:solidFill>
                      </w14:textFill>
                    </w:rPr>
                    <w:t>Relation étroite entre les différents microbiotes</w:t>
                  </w:r>
                </w:p>
                <w:p w14:paraId="196A2232">
                  <w:pPr>
                    <w:rPr>
                      <w:b/>
                      <w:bCs/>
                      <w:i/>
                      <w:iCs/>
                      <w:color w:val="80350E" w:themeColor="accent2" w:themeShade="80"/>
                    </w:rPr>
                  </w:pPr>
                </w:p>
              </w:tc>
            </w:tr>
            <w:tr w14:paraId="15942E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348" w:type="dxa"/>
                </w:tcPr>
                <w:p w14:paraId="228D94F0">
                  <w:pPr>
                    <w:rPr>
                      <w:rFonts w:hint="default"/>
                      <w:sz w:val="20"/>
                      <w:szCs w:val="20"/>
                      <w:lang w:val="fr-FR"/>
                    </w:rPr>
                  </w:pPr>
                  <w:r>
                    <w:rPr>
                      <w:b/>
                      <w:bCs/>
                      <w:i/>
                      <w:iCs/>
                      <w:color w:val="E97132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  <w:t>SI (Surveillance immunitaire) </w:t>
                  </w:r>
                  <w:r>
                    <w:rPr>
                      <w:b/>
                      <w:bCs/>
                      <w:i/>
                      <w:iCs/>
                      <w:color w:val="80350E" w:themeColor="accent2" w:themeShade="80"/>
                    </w:rPr>
                    <w:t xml:space="preserve">: </w:t>
                  </w:r>
                </w:p>
                <w:p w14:paraId="2C97818C">
                  <w:pPr>
                    <w:rPr>
                      <w:sz w:val="20"/>
                      <w:szCs w:val="20"/>
                    </w:rPr>
                  </w:pPr>
                </w:p>
                <w:p w14:paraId="4B51A0D7">
                  <w:pPr>
                    <w:rPr>
                      <w:b/>
                      <w:bCs/>
                      <w:i/>
                      <w:iCs/>
                      <w:color w:val="80350E" w:themeColor="accent2" w:themeShade="80"/>
                      <w:sz w:val="20"/>
                      <w:szCs w:val="20"/>
                    </w:rPr>
                  </w:pPr>
                </w:p>
              </w:tc>
            </w:tr>
            <w:tr w14:paraId="1E3759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348" w:type="dxa"/>
                </w:tcPr>
                <w:p w14:paraId="16100E7A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E97132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  <w:t>INF (Processus inflammatoire) </w:t>
                  </w:r>
                  <w:r>
                    <w:rPr>
                      <w:b/>
                      <w:bCs/>
                      <w:i/>
                      <w:iCs/>
                      <w:color w:val="E97132" w:themeColor="accent2"/>
                      <w:sz w:val="18"/>
                      <w:szCs w:val="18"/>
                      <w14:textFill>
                        <w14:solidFill>
                          <w14:schemeClr w14:val="accent2"/>
                        </w14:solidFill>
                      </w14:textFill>
                    </w:rPr>
                    <w:t xml:space="preserve">: </w:t>
                  </w:r>
                </w:p>
                <w:p w14:paraId="01081CE4">
                  <w:pPr>
                    <w:rPr>
                      <w:sz w:val="20"/>
                      <w:szCs w:val="20"/>
                    </w:rPr>
                  </w:pPr>
                </w:p>
                <w:p w14:paraId="2F48FDA4">
                  <w:pPr>
                    <w:rPr>
                      <w:b/>
                      <w:bCs/>
                      <w:i/>
                      <w:iCs/>
                      <w:color w:val="80350E" w:themeColor="accent2" w:themeShade="80"/>
                      <w:sz w:val="18"/>
                      <w:szCs w:val="18"/>
                    </w:rPr>
                  </w:pPr>
                </w:p>
              </w:tc>
            </w:tr>
            <w:tr w14:paraId="14BBE7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348" w:type="dxa"/>
                </w:tcPr>
                <w:p w14:paraId="4C7F5E18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E97132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  <w:t>Régulation Neuro Hormonale) :</w:t>
                  </w:r>
                </w:p>
                <w:p w14:paraId="1DE56B46">
                  <w:pPr>
                    <w:rPr>
                      <w:sz w:val="20"/>
                      <w:szCs w:val="20"/>
                    </w:rPr>
                  </w:pPr>
                </w:p>
                <w:p w14:paraId="05512317">
                  <w:pPr>
                    <w:rPr>
                      <w:b/>
                      <w:bCs/>
                      <w:i/>
                      <w:iCs/>
                      <w:color w:val="80350E" w:themeColor="accent2" w:themeShade="80"/>
                      <w:sz w:val="20"/>
                      <w:szCs w:val="20"/>
                    </w:rPr>
                  </w:pPr>
                </w:p>
              </w:tc>
            </w:tr>
          </w:tbl>
          <w:p w14:paraId="07BA360B">
            <w:pPr>
              <w:rPr>
                <w:b/>
                <w:bCs/>
              </w:rPr>
            </w:pPr>
          </w:p>
        </w:tc>
      </w:tr>
      <w:tr w14:paraId="792BF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6C00191">
            <w:pPr>
              <w:rPr>
                <w:b/>
                <w:bCs/>
                <w:color w:val="196B24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b/>
                <w:bCs/>
                <w:color w:val="196B24" w:themeColor="accent3"/>
                <w14:textFill>
                  <w14:solidFill>
                    <w14:schemeClr w14:val="accent3"/>
                  </w14:solidFill>
                </w14:textFill>
              </w:rPr>
              <w:t>Evolution – Risque</w:t>
            </w:r>
          </w:p>
          <w:p w14:paraId="6F08F6D5">
            <w:pPr>
              <w:rPr>
                <w:b/>
                <w:bCs/>
                <w:i/>
                <w:i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/>
                <w:iCs/>
                <w:color w:val="4EA72E" w:themeColor="accent6"/>
                <w14:textFill>
                  <w14:solidFill>
                    <w14:schemeClr w14:val="accent6"/>
                  </w14:solidFill>
                </w14:textFill>
              </w:rPr>
              <w:t>« Intégrité structurale »</w:t>
            </w:r>
          </w:p>
        </w:tc>
        <w:tc>
          <w:tcPr>
            <w:tcW w:w="13433" w:type="dxa"/>
          </w:tcPr>
          <w:p w14:paraId="45F23D71">
            <w:pPr>
              <w:pStyle w:val="28"/>
              <w:ind w:left="113"/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Pas de destruction profonde de tissus, ni de lésions irréversibles </w:t>
            </w:r>
          </w:p>
          <w:p w14:paraId="0EA7EB2D">
            <w:pPr>
              <w:pStyle w:val="28"/>
              <w:ind w:left="113"/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>Possibilité d’une évolution vers une mycose chronique ou intermittente</w:t>
            </w:r>
          </w:p>
        </w:tc>
      </w:tr>
      <w:tr w14:paraId="7D615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28023172">
            <w:pPr>
              <w:rPr>
                <w:b/>
                <w:bCs/>
                <w:color w:val="196B24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b/>
                <w:bCs/>
                <w:color w:val="196B24" w:themeColor="accent3"/>
                <w14:textFill>
                  <w14:solidFill>
                    <w14:schemeClr w14:val="accent3"/>
                  </w14:solidFill>
                </w14:textFill>
              </w:rPr>
              <w:t>Diagnostic</w:t>
            </w:r>
          </w:p>
        </w:tc>
        <w:tc>
          <w:tcPr>
            <w:tcW w:w="13433" w:type="dxa"/>
          </w:tcPr>
          <w:p w14:paraId="772FBC8D">
            <w:pPr>
              <w:pStyle w:val="28"/>
              <w:ind w:left="113"/>
              <w:rPr>
                <w:color w:val="156082" w:themeColor="accent1"/>
                <w:sz w:val="20"/>
                <w:szCs w:val="20"/>
                <w14:textFill>
                  <w14:solidFill>
                    <w14:schemeClr w14:val="accent1"/>
                  </w14:solidFill>
                </w14:textFill>
              </w:rPr>
            </w:pPr>
          </w:p>
        </w:tc>
      </w:tr>
      <w:tr w14:paraId="4E730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1AE400A0">
            <w:pPr>
              <w:rPr>
                <w:b/>
                <w:bCs/>
                <w:color w:val="196B24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b/>
                <w:bCs/>
                <w:color w:val="196B24" w:themeColor="accent3"/>
                <w14:textFill>
                  <w14:solidFill>
                    <w14:schemeClr w14:val="accent3"/>
                  </w14:solidFill>
                </w14:textFill>
              </w:rPr>
              <w:t>Causes</w:t>
            </w:r>
          </w:p>
          <w:p w14:paraId="3A8346D1">
            <w:pPr>
              <w:rPr>
                <w:b/>
                <w:bCs/>
                <w:i/>
                <w:iCs/>
                <w:color w:val="4EA72E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b/>
                <w:bCs/>
                <w:i/>
                <w:iCs/>
                <w:color w:val="4EA72E" w:themeColor="accent6"/>
                <w14:textFill>
                  <w14:solidFill>
                    <w14:schemeClr w14:val="accent6"/>
                  </w14:solidFill>
                </w14:textFill>
              </w:rPr>
              <w:t xml:space="preserve">« Facteurs FP (prédisposant) – </w:t>
            </w:r>
          </w:p>
          <w:p w14:paraId="37F8B17F">
            <w:pPr>
              <w:rPr>
                <w:b/>
                <w:bCs/>
                <w:i/>
                <w:iCs/>
                <w:color w:val="80350E" w:themeColor="accent2" w:themeShade="80"/>
              </w:rPr>
            </w:pPr>
            <w:r>
              <w:rPr>
                <w:b/>
                <w:bCs/>
                <w:i/>
                <w:iCs/>
                <w:color w:val="4EA72E" w:themeColor="accent6"/>
                <w14:textFill>
                  <w14:solidFill>
                    <w14:schemeClr w14:val="accent6"/>
                  </w14:solidFill>
                </w14:textFill>
              </w:rPr>
              <w:t>FD (déclenchant) – FF  (favorisant) »</w:t>
            </w:r>
          </w:p>
        </w:tc>
        <w:tc>
          <w:tcPr>
            <w:tcW w:w="13433" w:type="dxa"/>
          </w:tcPr>
          <w:p w14:paraId="5ABE37E4">
            <w:pPr>
              <w:pStyle w:val="28"/>
              <w:ind w:left="227"/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* déséquilibre de la flore vaginale </w:t>
            </w:r>
          </w:p>
          <w:p w14:paraId="2E00DBE7">
            <w:pPr>
              <w:pStyle w:val="28"/>
              <w:ind w:left="227"/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* pH vaginal légèrement élevé </w:t>
            </w:r>
          </w:p>
          <w:p w14:paraId="471B4DD8">
            <w:pPr>
              <w:pStyle w:val="28"/>
              <w:ind w:left="227"/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* contexte hormonal (grossesse, péri-ménopause, pré-ménopause) </w:t>
            </w:r>
          </w:p>
          <w:p w14:paraId="2BF77BF9">
            <w:pPr>
              <w:pStyle w:val="28"/>
              <w:ind w:left="227"/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* Hygiène inadaptée et facteurs environnementaux (médicamentation, utiisation de protection hygiènique </w:t>
            </w:r>
          </w:p>
        </w:tc>
      </w:tr>
      <w:tr w14:paraId="19622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2F173A27">
            <w:pPr>
              <w:rPr>
                <w:b/>
                <w:bCs/>
                <w:color w:val="196B24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b/>
                <w:bCs/>
                <w:color w:val="196B24" w:themeColor="accent3"/>
                <w14:textFill>
                  <w14:solidFill>
                    <w14:schemeClr w14:val="accent3"/>
                  </w14:solidFill>
                </w14:textFill>
              </w:rPr>
              <w:t>Enquête</w:t>
            </w:r>
          </w:p>
          <w:p w14:paraId="291EBE9D">
            <w:pPr>
              <w:rPr>
                <w:b/>
                <w:bCs/>
                <w:color w:val="196B24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b/>
                <w:bCs/>
                <w:color w:val="196B24" w:themeColor="accent3"/>
                <w14:textFill>
                  <w14:solidFill>
                    <w14:schemeClr w14:val="accent3"/>
                  </w14:solidFill>
                </w14:textFill>
              </w:rPr>
              <w:t>Questions</w:t>
            </w:r>
          </w:p>
        </w:tc>
        <w:tc>
          <w:tcPr>
            <w:tcW w:w="13433" w:type="dxa"/>
          </w:tcPr>
          <w:p w14:paraId="143B9648">
            <w:pPr>
              <w:pStyle w:val="28"/>
              <w:ind w:left="113"/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Avez vous des démangeaisons, des brûlures, des rougeurs au niveau du vagin et/ou de la vulve? </w:t>
            </w:r>
          </w:p>
          <w:p w14:paraId="748F054A">
            <w:pPr>
              <w:pStyle w:val="28"/>
              <w:ind w:left="113"/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Avez vous des douleurs lors de vos rapports sexuels? </w:t>
            </w:r>
          </w:p>
          <w:p w14:paraId="1B835BB6">
            <w:pPr>
              <w:pStyle w:val="28"/>
              <w:ind w:left="113"/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Qu’utilisez vous pour votre hygiène intime? </w:t>
            </w:r>
          </w:p>
          <w:p w14:paraId="595090E0">
            <w:pPr>
              <w:pStyle w:val="28"/>
              <w:ind w:left="113"/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Quels moyens utilisés vous pour limiter les désagréments des pertes blanches? </w:t>
            </w:r>
          </w:p>
          <w:p w14:paraId="639F3243">
            <w:pPr>
              <w:pStyle w:val="28"/>
              <w:ind w:left="113"/>
              <w:rPr>
                <w:rFonts w:hint="default"/>
                <w:sz w:val="20"/>
                <w:szCs w:val="20"/>
                <w:lang w:val="fr-FR"/>
              </w:rPr>
            </w:pPr>
          </w:p>
        </w:tc>
      </w:tr>
      <w:tr w14:paraId="65621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518110A">
            <w:pPr>
              <w:rPr>
                <w:b/>
                <w:bCs/>
                <w:color w:val="196B24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b/>
                <w:bCs/>
                <w:color w:val="196B24" w:themeColor="accent3"/>
                <w14:textFill>
                  <w14:solidFill>
                    <w14:schemeClr w14:val="accent3"/>
                  </w14:solidFill>
                </w14:textFill>
              </w:rPr>
              <w:t>Bilans</w:t>
            </w:r>
          </w:p>
        </w:tc>
        <w:tc>
          <w:tcPr>
            <w:tcW w:w="13433" w:type="dxa"/>
          </w:tcPr>
          <w:p w14:paraId="67528FC3">
            <w:pPr>
              <w:pStyle w:val="28"/>
              <w:ind w:left="113"/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>Frottis vaginale, mesure du pH vaginal</w:t>
            </w:r>
          </w:p>
        </w:tc>
      </w:tr>
      <w:tr w14:paraId="48571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7E49C151">
            <w:pPr>
              <w:rPr>
                <w:b/>
                <w:bCs/>
                <w:color w:val="196B24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b/>
                <w:bCs/>
                <w:color w:val="196B24" w:themeColor="accent3"/>
                <w14:textFill>
                  <w14:solidFill>
                    <w14:schemeClr w14:val="accent3"/>
                  </w14:solidFill>
                </w14:textFill>
              </w:rPr>
              <w:t>Allopathie préventive</w:t>
            </w:r>
          </w:p>
        </w:tc>
        <w:tc>
          <w:tcPr>
            <w:tcW w:w="13433" w:type="dxa"/>
          </w:tcPr>
          <w:p w14:paraId="6E8A3D1B">
            <w:pPr>
              <w:pStyle w:val="28"/>
              <w:ind w:left="113"/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>Alimentation équilibré, hydratation, hygiène intime à l’eau sans produits avec pH neutre, équilibre de la glycémie.</w:t>
            </w:r>
          </w:p>
        </w:tc>
      </w:tr>
      <w:tr w14:paraId="41C40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5049B77F">
            <w:pPr>
              <w:rPr>
                <w:b/>
                <w:bCs/>
                <w:color w:val="196B24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b/>
                <w:bCs/>
                <w:color w:val="196B24" w:themeColor="accent3"/>
                <w14:textFill>
                  <w14:solidFill>
                    <w14:schemeClr w14:val="accent3"/>
                  </w14:solidFill>
                </w14:textFill>
              </w:rPr>
              <w:t>Naturopathie préventive</w:t>
            </w:r>
          </w:p>
        </w:tc>
        <w:tc>
          <w:tcPr>
            <w:tcW w:w="13433" w:type="dxa"/>
          </w:tcPr>
          <w:p w14:paraId="37116D16">
            <w:pPr>
              <w:pStyle w:val="28"/>
              <w:ind w:left="226" w:hanging="113"/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>Alimentation peu sucré et équilibré, mastication, hydratation, activité physique adaptée, hygiène intime adaptée, prébiotiques et probiotiques</w:t>
            </w:r>
          </w:p>
          <w:p w14:paraId="3292B8B0">
            <w:pPr>
              <w:pStyle w:val="28"/>
              <w:ind w:left="226" w:hanging="113"/>
            </w:pPr>
          </w:p>
        </w:tc>
      </w:tr>
      <w:tr w14:paraId="1284D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194CB815">
            <w:pPr>
              <w:rPr>
                <w:b/>
                <w:bCs/>
                <w:color w:val="196B24" w:themeColor="accent3"/>
                <w14:textFill>
                  <w14:solidFill>
                    <w14:schemeClr w14:val="accent3"/>
                  </w14:solidFill>
                </w14:textFill>
              </w:rPr>
            </w:pPr>
            <w:r>
              <w:rPr>
                <w:b/>
                <w:bCs/>
                <w:color w:val="196B24" w:themeColor="accent3"/>
                <w14:textFill>
                  <w14:solidFill>
                    <w14:schemeClr w14:val="accent3"/>
                  </w14:solidFill>
                </w14:textFill>
              </w:rPr>
              <w:t>Bilans/tests Naturopathiques</w:t>
            </w:r>
          </w:p>
        </w:tc>
        <w:tc>
          <w:tcPr>
            <w:tcW w:w="13433" w:type="dxa"/>
          </w:tcPr>
          <w:p w14:paraId="2F3EAD23">
            <w:pPr>
              <w:pStyle w:val="28"/>
              <w:ind w:left="113"/>
              <w:rPr>
                <w:sz w:val="20"/>
                <w:szCs w:val="20"/>
              </w:rPr>
            </w:pPr>
          </w:p>
        </w:tc>
      </w:tr>
      <w:bookmarkEnd w:id="0"/>
    </w:tbl>
    <w:p w14:paraId="4B382E61">
      <w:pPr>
        <w:jc w:val="center"/>
        <w:rPr>
          <w:b/>
          <w:bCs/>
          <w:color w:val="156082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156082" w:themeColor="accent1"/>
          <w:sz w:val="28"/>
          <w:szCs w:val="28"/>
          <w14:textFill>
            <w14:solidFill>
              <w14:schemeClr w14:val="accent1"/>
            </w14:solidFill>
          </w14:textFill>
        </w:rPr>
        <w:t>HYGIENE DE VIE</w:t>
      </w:r>
    </w:p>
    <w:p w14:paraId="45582C2F">
      <w:pPr>
        <w:jc w:val="center"/>
        <w:rPr>
          <w:b/>
          <w:bCs/>
          <w:color w:val="156082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</w:p>
    <w:tbl>
      <w:tblPr>
        <w:tblStyle w:val="33"/>
        <w:tblW w:w="15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13369"/>
      </w:tblGrid>
      <w:tr w14:paraId="560E5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2A3E4F5">
            <w:pP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  <w:t xml:space="preserve">Conseils hygiéno-diététiques </w:t>
            </w:r>
          </w:p>
          <w:p w14:paraId="44937BB2">
            <w:pPr>
              <w:rPr>
                <w:b/>
                <w:bCs/>
                <w:i/>
                <w:iCs/>
                <w:color w:val="156082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/>
                <w:iCs/>
                <w:color w:val="0F9ED5" w:themeColor="accent4"/>
                <w14:textFill>
                  <w14:solidFill>
                    <w14:schemeClr w14:val="accent4"/>
                  </w14:solidFill>
                </w14:textFill>
              </w:rPr>
              <w:t>DIET (Détoxification – Biotransformation)</w:t>
            </w:r>
          </w:p>
        </w:tc>
        <w:tc>
          <w:tcPr>
            <w:tcW w:w="13433" w:type="dxa"/>
          </w:tcPr>
          <w:p w14:paraId="68FD3CB2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Alimentation pauvre en sucres rapides, </w:t>
            </w:r>
          </w:p>
          <w:p w14:paraId="205B7F2A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Alimentation équilibrée </w:t>
            </w:r>
          </w:p>
          <w:p w14:paraId="03E2B8BF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Consommer des aliments riches en probiotique (yaourt, kéfir, choucroute, K-Philus..) et prébiotiques (fibres, ail, oignon, banane, inuline mais attention si troubles digestifs) </w:t>
            </w:r>
          </w:p>
          <w:p w14:paraId="49E29706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Éviter les aliments fermentés contenant des levures </w:t>
            </w:r>
          </w:p>
          <w:p w14:paraId="56F3C858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Mastication </w:t>
            </w:r>
          </w:p>
          <w:p w14:paraId="34C34377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Hydratation </w:t>
            </w:r>
          </w:p>
          <w:p w14:paraId="626032BE">
            <w:pPr>
              <w:rPr>
                <w:rFonts w:hint="default"/>
                <w:sz w:val="20"/>
                <w:szCs w:val="20"/>
                <w:lang w:val="fr-FR"/>
              </w:rPr>
            </w:pPr>
          </w:p>
        </w:tc>
      </w:tr>
      <w:tr w14:paraId="48185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7FCA81A9">
            <w:pP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  <w:t>Conseils nutritionnels  (rééquilibrage, régimes, Superaliments, Huiles, Prds mer, outils – appareils…)</w:t>
            </w:r>
          </w:p>
          <w:p w14:paraId="16DD2297">
            <w:pP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13433" w:type="dxa"/>
          </w:tcPr>
          <w:p w14:paraId="3C84A770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>* alimentation antifongique ciblée lors de la crise et sur plusieurs semaines (zéro sucre rapide, limitation du gluten temporaire et limitation des produits laitiers)</w:t>
            </w:r>
          </w:p>
          <w:p w14:paraId="65097C57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* protocole anti-Candida (huile de coco et curcuma frais) </w:t>
            </w:r>
          </w:p>
          <w:p w14:paraId="0EB339D0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>* Alimentation riches en prébiotiques (carottes cuites, bananes pas trop mures, flocons d’avoine) et aliments fermentés en petite quantité (miso, kimchi, K-Philus, tempeh si bien tolérés)</w:t>
            </w:r>
          </w:p>
          <w:p w14:paraId="7D290571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>* soutien hépatique et drainage si pas trop de fatigue (artichaut, radis noir, jus de citron à jeun</w:t>
            </w:r>
          </w:p>
          <w:p w14:paraId="6C908FDF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* Bouillon d’os pour la régénération des muqueuses </w:t>
            </w:r>
          </w:p>
          <w:p w14:paraId="352BE4F3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>* fractionnement des repas pour stabilisation de la glycémie et éviter les pics</w:t>
            </w:r>
          </w:p>
          <w:p w14:paraId="15CEC897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>* DIner léger</w:t>
            </w:r>
          </w:p>
          <w:p w14:paraId="2228C4A7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>* Capsules d’huile d’argousier</w:t>
            </w:r>
          </w:p>
        </w:tc>
      </w:tr>
      <w:tr w14:paraId="761D6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7D320AB">
            <w:pPr>
              <w:rPr>
                <w:b/>
                <w:bCs/>
                <w:i/>
                <w:i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/>
                <w:iCs/>
                <w:color w:val="0F9ED5" w:themeColor="accent4"/>
                <w14:textFill>
                  <w14:solidFill>
                    <w14:schemeClr w14:val="accent4"/>
                  </w14:solidFill>
                </w14:textFill>
              </w:rPr>
              <w:t>Détoxification – Biotransformation (DIET)</w:t>
            </w:r>
          </w:p>
        </w:tc>
        <w:tc>
          <w:tcPr>
            <w:tcW w:w="13433" w:type="dxa"/>
          </w:tcPr>
          <w:p w14:paraId="2999389C">
            <w:pPr>
              <w:rPr>
                <w:sz w:val="20"/>
                <w:szCs w:val="20"/>
              </w:rPr>
            </w:pPr>
          </w:p>
        </w:tc>
      </w:tr>
      <w:tr w14:paraId="10825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23DBA4D">
            <w:pP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  <w:t>Activité physique</w:t>
            </w:r>
          </w:p>
        </w:tc>
        <w:tc>
          <w:tcPr>
            <w:tcW w:w="13433" w:type="dxa"/>
          </w:tcPr>
          <w:p w14:paraId="7521107C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>Pour favoriser l’oxygénation des tissus pelviens, le soutien hormonal et la réduction du cortisol, marche rapide, yin-Yoga, exercices de Kegel</w:t>
            </w:r>
          </w:p>
        </w:tc>
      </w:tr>
      <w:tr w14:paraId="395C0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724B5E69">
            <w:pP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i/>
                <w:iCs/>
                <w:color w:val="80350E" w:themeColor="accent2" w:themeShade="80"/>
              </w:rPr>
              <w:t>PSY</w:t>
            </w:r>
            <w: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  <w:t xml:space="preserve"> - Hygiène psycho-émotionnelle</w:t>
            </w:r>
          </w:p>
        </w:tc>
        <w:tc>
          <w:tcPr>
            <w:tcW w:w="13433" w:type="dxa"/>
          </w:tcPr>
          <w:p w14:paraId="5071D097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>Gestion du stress pour limiter la production du cortisol pouvant être un déséquilibrant hormonal et un immunosupresseur</w:t>
            </w:r>
          </w:p>
        </w:tc>
      </w:tr>
      <w:tr w14:paraId="52B12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1997B169">
            <w:pP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  <w:t>Hydrologie</w:t>
            </w:r>
          </w:p>
        </w:tc>
        <w:tc>
          <w:tcPr>
            <w:tcW w:w="13433" w:type="dxa"/>
          </w:tcPr>
          <w:p w14:paraId="6B7DC310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Bain de siège froid, douche tiède avec eau florale de rose </w:t>
            </w:r>
          </w:p>
          <w:p w14:paraId="03E11E0D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Bains de siège antifongiques (10 min/ jour en période de crises : infusion de camomille+ 1C. à S de vinaigre de citre+ 2gouttes HE tea tree diluées </w:t>
            </w:r>
          </w:p>
        </w:tc>
      </w:tr>
      <w:tr w14:paraId="7E479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71179B4F">
            <w:pP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  <w:t>Phytologie</w:t>
            </w:r>
          </w:p>
        </w:tc>
        <w:tc>
          <w:tcPr>
            <w:tcW w:w="13433" w:type="dxa"/>
          </w:tcPr>
          <w:p w14:paraId="31AE1425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>Plante immunité : TM échinacée</w:t>
            </w:r>
          </w:p>
          <w:p w14:paraId="50F16291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>Protection du foie, soutien de la fonction d’élimination des toxines : TM de Chardon-Marie</w:t>
            </w:r>
          </w:p>
          <w:p w14:paraId="6575CBA1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>Pour élimination des agents pathogènes et réduction de l’inflammation : Chlorophylle et herbe de blé</w:t>
            </w:r>
          </w:p>
        </w:tc>
      </w:tr>
      <w:tr w14:paraId="7CD82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1CBA91E7">
            <w:pP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  <w:t>Aromatologie</w:t>
            </w:r>
          </w:p>
        </w:tc>
        <w:tc>
          <w:tcPr>
            <w:tcW w:w="13433" w:type="dxa"/>
          </w:tcPr>
          <w:p w14:paraId="3C7C04FD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>Huile de coco+ une goutte HE tea-tree en application externe 1X par jour en cas de mycose</w:t>
            </w:r>
          </w:p>
          <w:p w14:paraId="2727F33B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>Capsules d’HE (Ajowan, Origan, Cannelle, Girofle) pour élimination des agents pathogènes et réduction de l’inflammation</w:t>
            </w:r>
          </w:p>
        </w:tc>
      </w:tr>
      <w:tr w14:paraId="23568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0C8F418E">
            <w:pP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  <w:t xml:space="preserve">Gemmothérapie </w:t>
            </w:r>
          </w:p>
        </w:tc>
        <w:tc>
          <w:tcPr>
            <w:tcW w:w="13433" w:type="dxa"/>
          </w:tcPr>
          <w:p w14:paraId="6ED2AD7D">
            <w:pPr>
              <w:rPr>
                <w:sz w:val="20"/>
                <w:szCs w:val="20"/>
              </w:rPr>
            </w:pPr>
          </w:p>
        </w:tc>
      </w:tr>
      <w:tr w14:paraId="47217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4A0C0E2A">
            <w:pP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  <w:t>C.A</w:t>
            </w:r>
          </w:p>
        </w:tc>
        <w:tc>
          <w:tcPr>
            <w:tcW w:w="13433" w:type="dxa"/>
          </w:tcPr>
          <w:p w14:paraId="4B884DE7">
            <w:pPr>
              <w:rPr>
                <w:rFonts w:hint="default"/>
                <w:color w:val="EE0000"/>
                <w:sz w:val="20"/>
                <w:szCs w:val="20"/>
                <w:lang w:val="fr-FR"/>
              </w:rPr>
            </w:pPr>
            <w:r>
              <w:rPr>
                <w:rFonts w:hint="default"/>
                <w:color w:val="EE0000"/>
                <w:sz w:val="20"/>
                <w:szCs w:val="20"/>
                <w:lang w:val="fr-FR"/>
              </w:rPr>
              <w:t>Zinc, oméga 3, vitamine D</w:t>
            </w:r>
          </w:p>
          <w:p w14:paraId="6704E6F5">
            <w:pPr>
              <w:rPr>
                <w:rFonts w:hint="default"/>
                <w:color w:val="EE0000"/>
                <w:sz w:val="20"/>
                <w:szCs w:val="20"/>
                <w:lang w:val="fr-FR"/>
              </w:rPr>
            </w:pPr>
            <w:r>
              <w:rPr>
                <w:rFonts w:hint="default"/>
                <w:color w:val="EE0000"/>
                <w:sz w:val="20"/>
                <w:szCs w:val="20"/>
                <w:lang w:val="fr-FR"/>
              </w:rPr>
              <w:t xml:space="preserve">Dysbios’Aroma </w:t>
            </w:r>
          </w:p>
          <w:p w14:paraId="0B7A663E">
            <w:pPr>
              <w:rPr>
                <w:rFonts w:hint="default"/>
                <w:color w:val="EE0000"/>
                <w:sz w:val="20"/>
                <w:szCs w:val="20"/>
                <w:lang w:val="fr-FR"/>
              </w:rPr>
            </w:pPr>
            <w:r>
              <w:rPr>
                <w:rFonts w:hint="default"/>
                <w:color w:val="EE0000"/>
                <w:sz w:val="20"/>
                <w:szCs w:val="20"/>
                <w:lang w:val="fr-FR"/>
              </w:rPr>
              <w:t>Probiotiques vaginaux</w:t>
            </w:r>
          </w:p>
          <w:p w14:paraId="06301ADD">
            <w:pPr>
              <w:rPr>
                <w:rFonts w:hint="default"/>
                <w:color w:val="EE0000"/>
                <w:sz w:val="20"/>
                <w:szCs w:val="20"/>
                <w:lang w:val="fr-FR"/>
              </w:rPr>
            </w:pPr>
            <w:r>
              <w:rPr>
                <w:rFonts w:hint="default"/>
                <w:color w:val="EE0000"/>
                <w:sz w:val="20"/>
                <w:szCs w:val="20"/>
                <w:lang w:val="fr-FR"/>
              </w:rPr>
              <w:t xml:space="preserve">Ovules d’acide lactique et lactobacilles rhamnosus </w:t>
            </w:r>
          </w:p>
        </w:tc>
      </w:tr>
      <w:tr w14:paraId="61A6C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B1D3B0F">
            <w:pP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  <w:t>Pdrs de la mer</w:t>
            </w:r>
          </w:p>
        </w:tc>
        <w:tc>
          <w:tcPr>
            <w:tcW w:w="13433" w:type="dxa"/>
          </w:tcPr>
          <w:p w14:paraId="5B6F8DFB">
            <w:pPr>
              <w:rPr>
                <w:sz w:val="20"/>
                <w:szCs w:val="20"/>
              </w:rPr>
            </w:pPr>
          </w:p>
        </w:tc>
      </w:tr>
      <w:tr w14:paraId="3F849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56258089">
            <w:pP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  <w:t>Plantes – champignons adaptogènes</w:t>
            </w:r>
          </w:p>
        </w:tc>
        <w:tc>
          <w:tcPr>
            <w:tcW w:w="13433" w:type="dxa"/>
          </w:tcPr>
          <w:p w14:paraId="77C0EE58">
            <w:pPr>
              <w:rPr>
                <w:sz w:val="20"/>
                <w:szCs w:val="20"/>
              </w:rPr>
            </w:pPr>
            <w:bookmarkStart w:id="2" w:name="_GoBack"/>
            <w:bookmarkEnd w:id="2"/>
          </w:p>
        </w:tc>
      </w:tr>
      <w:tr w14:paraId="07E14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5CFC2DC5">
            <w:pP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  <w:t>Produits de la ruche</w:t>
            </w:r>
          </w:p>
        </w:tc>
        <w:tc>
          <w:tcPr>
            <w:tcW w:w="13433" w:type="dxa"/>
          </w:tcPr>
          <w:p w14:paraId="5174C61E">
            <w:pPr>
              <w:rPr>
                <w:rFonts w:hint="default"/>
                <w:sz w:val="20"/>
                <w:szCs w:val="20"/>
                <w:lang w:val="fr-FR"/>
              </w:rPr>
            </w:pPr>
            <w:r>
              <w:rPr>
                <w:rFonts w:hint="default"/>
                <w:sz w:val="20"/>
                <w:szCs w:val="20"/>
                <w:lang w:val="fr-FR"/>
              </w:rPr>
              <w:t xml:space="preserve">Propolis </w:t>
            </w:r>
          </w:p>
        </w:tc>
      </w:tr>
      <w:tr w14:paraId="54CAA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88BD085">
            <w:pP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  <w:t>Autres</w:t>
            </w:r>
          </w:p>
        </w:tc>
        <w:tc>
          <w:tcPr>
            <w:tcW w:w="13433" w:type="dxa"/>
          </w:tcPr>
          <w:p w14:paraId="56CB6ABD">
            <w:pPr>
              <w:rPr>
                <w:rFonts w:hint="default"/>
                <w:color w:val="000000" w:themeColor="text1"/>
                <w:sz w:val="20"/>
                <w:szCs w:val="20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0"/>
                <w:szCs w:val="20"/>
                <w:lang w:val="fr-FR"/>
                <w14:textFill>
                  <w14:solidFill>
                    <w14:schemeClr w14:val="tx1"/>
                  </w14:solidFill>
                </w14:textFill>
              </w:rPr>
              <w:t>Vêtements adaptés (coton et vêtements non serrés)</w:t>
            </w:r>
          </w:p>
          <w:p w14:paraId="57012150">
            <w:pPr>
              <w:rPr>
                <w:rFonts w:hint="default"/>
                <w:color w:val="000000" w:themeColor="text1"/>
                <w:sz w:val="20"/>
                <w:szCs w:val="20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0"/>
                <w:szCs w:val="20"/>
                <w:lang w:val="fr-FR"/>
                <w14:textFill>
                  <w14:solidFill>
                    <w14:schemeClr w14:val="tx1"/>
                  </w14:solidFill>
                </w14:textFill>
              </w:rPr>
              <w:t xml:space="preserve">Protection hygiénique en coton bio non blanchi culottes de règles, aucune matière synsthétique ou parfumée. </w:t>
            </w:r>
          </w:p>
        </w:tc>
      </w:tr>
    </w:tbl>
    <w:p w14:paraId="7DA0E129"/>
    <w:bookmarkEnd w:id="1"/>
    <w:p w14:paraId="1FEAE6AB">
      <w:pPr>
        <w:jc w:val="center"/>
        <w:rPr>
          <w:b/>
          <w:bCs/>
          <w:color w:val="156082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</w:p>
    <w:p w14:paraId="11A002DE"/>
    <w:p w14:paraId="5D950F67"/>
    <w:sectPr>
      <w:pgSz w:w="16840" w:h="11905" w:orient="landscape"/>
      <w:pgMar w:top="851" w:right="567" w:bottom="284" w:left="567" w:header="357" w:footer="941" w:gutter="0"/>
      <w:cols w:space="708" w:num="1"/>
      <w:titlePg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hyphenationZone w:val="425"/>
  <w:drawingGridHorizontalSpacing w:val="110"/>
  <w:drawingGridVerticalSpacing w:val="299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239"/>
    <w:rsid w:val="00106995"/>
    <w:rsid w:val="00180807"/>
    <w:rsid w:val="00482B5C"/>
    <w:rsid w:val="00532115"/>
    <w:rsid w:val="007816AE"/>
    <w:rsid w:val="007874A3"/>
    <w:rsid w:val="00A34F72"/>
    <w:rsid w:val="00C506B9"/>
    <w:rsid w:val="00D3433D"/>
    <w:rsid w:val="00D63239"/>
    <w:rsid w:val="00DC5A6F"/>
    <w:rsid w:val="00DF0BD8"/>
    <w:rsid w:val="00F234F5"/>
    <w:rsid w:val="00F63715"/>
    <w:rsid w:val="0F574CE9"/>
    <w:rsid w:val="139C7A75"/>
    <w:rsid w:val="43BC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unhideWhenUsed="0" w:uiPriority="39" w:semiHidden="0" w:name="Table Grid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2"/>
      <w:szCs w:val="22"/>
      <w:lang w:val="fr-FR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Titre 1 C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Titre 2 C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Titre 3 C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Titre 4 C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Titre 5 C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Titre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Titre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itre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Titre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re Car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ous-titre Car"/>
    <w:basedOn w:val="11"/>
    <w:link w:val="12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Citation C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Citation intense C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styleId="33">
    <w:name w:val="Table Grid"/>
    <w:basedOn w:val="1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106</Words>
  <Characters>831</Characters>
  <Lines>118</Lines>
  <Paragraphs>44</Paragraphs>
  <TotalTime>40</TotalTime>
  <ScaleCrop>false</ScaleCrop>
  <LinksUpToDate>false</LinksUpToDate>
  <CharactersWithSpaces>893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2026-01-17T17:23:00Z</dcterms:created>
  <dc:creator>Valérie BOURG</dc:creator>
  <cp:lastModifiedBy>xp15</cp:lastModifiedBy>
  <dcterms:modified xsi:type="dcterms:W3CDTF">2026-01-26T09:59:47Z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D43DD57EF9D44BF7831A2596388507B2_13</vt:lpwstr>
  </property>
</Properties>
</file>