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D8BC" w14:textId="77777777" w:rsidR="00A67868" w:rsidRDefault="00C246F5">
      <w:pPr>
        <w:spacing w:after="100"/>
        <w:jc w:val="center"/>
      </w:pPr>
      <w:r>
        <w:rPr>
          <w:rFonts w:ascii="Book Antiqua" w:eastAsia="Book Antiqua" w:hAnsi="Book Antiqua" w:cs="Book Antiqua"/>
          <w:b/>
          <w:bCs/>
          <w:color w:val="1F3864"/>
          <w:sz w:val="52"/>
          <w:szCs w:val="52"/>
        </w:rPr>
        <w:t>PATHOLOGIES DU SYSTÈME ENDOCRINIEN</w:t>
      </w:r>
    </w:p>
    <w:p w14:paraId="76D57524" w14:textId="77777777" w:rsidR="00A67868" w:rsidRDefault="00C246F5">
      <w:pPr>
        <w:spacing w:after="120"/>
        <w:jc w:val="center"/>
      </w:pPr>
      <w:r>
        <w:rPr>
          <w:rFonts w:ascii="Book Antiqua" w:eastAsia="Book Antiqua" w:hAnsi="Book Antiqua" w:cs="Book Antiqua"/>
          <w:i/>
          <w:iCs/>
          <w:color w:val="E8967A"/>
          <w:sz w:val="28"/>
          <w:szCs w:val="28"/>
        </w:rPr>
        <w:t>Les Thyroïdites — Fiche de révision</w:t>
      </w:r>
    </w:p>
    <w:p w14:paraId="75FBE5E7" w14:textId="77777777" w:rsidR="00A67868" w:rsidRDefault="00A67868">
      <w:pPr>
        <w:pBdr>
          <w:bottom w:val="single" w:sz="8" w:space="1" w:color="E8967A"/>
        </w:pBdr>
        <w:spacing w:before="60" w:after="60"/>
      </w:pPr>
    </w:p>
    <w:p w14:paraId="5BAFCA79" w14:textId="77777777" w:rsidR="00A67868" w:rsidRDefault="00C246F5">
      <w:pPr>
        <w:spacing w:after="60"/>
      </w:pPr>
      <w:r>
        <w:rPr>
          <w:rFonts w:ascii="Book Antiqua" w:eastAsia="Book Antiqua" w:hAnsi="Book Antiqua" w:cs="Book Antiqua"/>
          <w:i/>
          <w:iCs/>
          <w:color w:val="888888"/>
        </w:rPr>
        <w:t>Cours ESN • Pascale FAIVRE • 25/03/2026</w:t>
      </w:r>
    </w:p>
    <w:p w14:paraId="01F77208" w14:textId="77777777" w:rsidR="00A67868" w:rsidRDefault="00C246F5">
      <w:pPr>
        <w:spacing w:before="200" w:after="60"/>
      </w:pPr>
      <w:r>
        <w:rPr>
          <w:rFonts w:ascii="Book Antiqua" w:eastAsia="Book Antiqua" w:hAnsi="Book Antiqua" w:cs="Book Antiqua"/>
          <w:b/>
          <w:bCs/>
          <w:color w:val="1F3864"/>
          <w:sz w:val="32"/>
          <w:szCs w:val="32"/>
        </w:rPr>
        <w:t xml:space="preserve">▌ 1. RAPPELS — Axe </w:t>
      </w:r>
      <w:proofErr w:type="spellStart"/>
      <w:r>
        <w:rPr>
          <w:rFonts w:ascii="Book Antiqua" w:eastAsia="Book Antiqua" w:hAnsi="Book Antiqua" w:cs="Book Antiqua"/>
          <w:b/>
          <w:bCs/>
          <w:color w:val="1F3864"/>
          <w:sz w:val="32"/>
          <w:szCs w:val="32"/>
        </w:rPr>
        <w:t>hypothalamo-hypophyso</w:t>
      </w:r>
      <w:proofErr w:type="spellEnd"/>
      <w:r>
        <w:rPr>
          <w:rFonts w:ascii="Book Antiqua" w:eastAsia="Book Antiqua" w:hAnsi="Book Antiqua" w:cs="Book Antiqua"/>
          <w:b/>
          <w:bCs/>
          <w:color w:val="1F3864"/>
          <w:sz w:val="32"/>
          <w:szCs w:val="32"/>
        </w:rPr>
        <w:t>-thyroïdien</w:t>
      </w:r>
    </w:p>
    <w:p w14:paraId="0CDE49DE" w14:textId="77777777" w:rsidR="00A67868" w:rsidRDefault="00A67868">
      <w:pPr>
        <w:pBdr>
          <w:bottom w:val="single" w:sz="8" w:space="1" w:color="2E6DA4"/>
        </w:pBdr>
        <w:spacing w:before="60" w:after="60"/>
      </w:pPr>
    </w:p>
    <w:p w14:paraId="46C47C87" w14:textId="77777777" w:rsidR="00A67868" w:rsidRDefault="00C246F5">
      <w:pPr>
        <w:spacing w:before="140" w:after="40"/>
      </w:pPr>
      <w:r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>Cascade de régulation</w:t>
      </w:r>
    </w:p>
    <w:p w14:paraId="7AEA1E52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sz w:val="22"/>
          <w:szCs w:val="22"/>
        </w:rPr>
        <w:t>Hypothalamus → TRH → Hypophyse → TSH → Thyroïde → T4 (93 %) + T3 (7 %)</w:t>
      </w:r>
    </w:p>
    <w:p w14:paraId="029A382A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sz w:val="22"/>
          <w:szCs w:val="22"/>
        </w:rPr>
        <w:t>Transport sanguin via TBG → captation tissulaire</w:t>
      </w:r>
    </w:p>
    <w:p w14:paraId="716946D9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sz w:val="22"/>
          <w:szCs w:val="22"/>
        </w:rPr>
        <w:t>Conversion périphérique T4 → T3 active (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désiodase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5') ou T3r inactive</w:t>
      </w:r>
    </w:p>
    <w:p w14:paraId="6ECFD763" w14:textId="77777777" w:rsidR="00A67868" w:rsidRPr="004873E3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sz w:val="22"/>
          <w:szCs w:val="22"/>
        </w:rPr>
        <w:t>Rétrocontrôle négatif : T3/T4 élevées freinent TSH</w:t>
      </w:r>
    </w:p>
    <w:p w14:paraId="1B0DFA33" w14:textId="77777777" w:rsidR="004873E3" w:rsidRDefault="004873E3" w:rsidP="00F53A33">
      <w:pPr>
        <w:spacing w:before="20" w:after="20"/>
      </w:pPr>
    </w:p>
    <w:p w14:paraId="7DDF95EE" w14:textId="63D2E40A" w:rsidR="00F53A33" w:rsidRDefault="00F53A33" w:rsidP="00F53A33">
      <w:pPr>
        <w:spacing w:before="20" w:after="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832DC6" wp14:editId="3F7FCC1D">
            <wp:simplePos x="0" y="0"/>
            <wp:positionH relativeFrom="column">
              <wp:posOffset>0</wp:posOffset>
            </wp:positionH>
            <wp:positionV relativeFrom="paragraph">
              <wp:posOffset>155575</wp:posOffset>
            </wp:positionV>
            <wp:extent cx="6417310" cy="2605405"/>
            <wp:effectExtent l="0" t="0" r="0" b="0"/>
            <wp:wrapTopAndBottom/>
            <wp:docPr id="1592837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3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CF8A9" w14:textId="77777777" w:rsidR="00DA6D80" w:rsidRDefault="00DA6D80">
      <w:pPr>
        <w:spacing w:before="140" w:after="40"/>
        <w:rPr>
          <w:rFonts w:ascii="Book Antiqua" w:eastAsia="Book Antiqua" w:hAnsi="Book Antiqua" w:cs="Book Antiqua"/>
          <w:b/>
          <w:bCs/>
          <w:color w:val="000000" w:themeColor="text1"/>
        </w:rPr>
      </w:pPr>
    </w:p>
    <w:p w14:paraId="480E2F40" w14:textId="11995D4C" w:rsidR="0021297A" w:rsidRDefault="00F53A33">
      <w:pPr>
        <w:spacing w:before="140" w:after="40"/>
        <w:rPr>
          <w:rFonts w:ascii="Book Antiqua" w:eastAsia="Book Antiqua" w:hAnsi="Book Antiqua" w:cs="Book Antiqua"/>
          <w:b/>
          <w:bCs/>
          <w:color w:val="000000" w:themeColor="text1"/>
        </w:rPr>
      </w:pPr>
      <w:r>
        <w:rPr>
          <w:rFonts w:ascii="Book Antiqua" w:eastAsia="Book Antiqua" w:hAnsi="Book Antiqua" w:cs="Book Antiqua"/>
          <w:b/>
          <w:bCs/>
          <w:color w:val="000000" w:themeColor="text1"/>
        </w:rPr>
        <w:t xml:space="preserve">Cellule </w:t>
      </w:r>
      <w:proofErr w:type="spellStart"/>
      <w:r>
        <w:rPr>
          <w:rFonts w:ascii="Book Antiqua" w:eastAsia="Book Antiqua" w:hAnsi="Book Antiqua" w:cs="Book Antiqua"/>
          <w:b/>
          <w:bCs/>
          <w:color w:val="000000" w:themeColor="text1"/>
        </w:rPr>
        <w:t>Thyréocyte</w:t>
      </w:r>
      <w:proofErr w:type="spellEnd"/>
      <w:r>
        <w:rPr>
          <w:rFonts w:ascii="Book Antiqua" w:eastAsia="Book Antiqua" w:hAnsi="Book Antiqua" w:cs="Book Antiqua"/>
          <w:b/>
          <w:bCs/>
          <w:color w:val="000000" w:themeColor="text1"/>
        </w:rPr>
        <w:t xml:space="preserve"> </w:t>
      </w:r>
      <w:r w:rsidR="00357DB0">
        <w:rPr>
          <w:rFonts w:ascii="Book Antiqua" w:eastAsia="Book Antiqua" w:hAnsi="Book Antiqua" w:cs="Book Antiqua"/>
          <w:b/>
          <w:bCs/>
          <w:color w:val="000000" w:themeColor="text1"/>
        </w:rPr>
        <w:t>T</w:t>
      </w:r>
      <w:r w:rsidR="00FB6852">
        <w:rPr>
          <w:rFonts w:ascii="Book Antiqua" w:eastAsia="Book Antiqua" w:hAnsi="Book Antiqua" w:cs="Book Antiqua"/>
          <w:b/>
          <w:bCs/>
          <w:color w:val="000000" w:themeColor="text1"/>
        </w:rPr>
        <w:t xml:space="preserve">4 en majorité. Premier ingrédient important I- qui </w:t>
      </w:r>
      <w:r w:rsidR="00924FE8">
        <w:rPr>
          <w:rFonts w:ascii="Book Antiqua" w:eastAsia="Book Antiqua" w:hAnsi="Book Antiqua" w:cs="Book Antiqua"/>
          <w:b/>
          <w:bCs/>
          <w:color w:val="000000" w:themeColor="text1"/>
        </w:rPr>
        <w:t xml:space="preserve">pour pénétrer à l’intérieur de la C, nécessite le transporteur </w:t>
      </w:r>
      <w:r w:rsidR="00776795">
        <w:rPr>
          <w:rFonts w:ascii="Book Antiqua" w:eastAsia="Book Antiqua" w:hAnsi="Book Antiqua" w:cs="Book Antiqua"/>
          <w:b/>
          <w:bCs/>
          <w:color w:val="000000" w:themeColor="text1"/>
        </w:rPr>
        <w:t xml:space="preserve">NIS (a besoin de Na). L’iodure entre à l’intérieur du </w:t>
      </w:r>
      <w:proofErr w:type="spellStart"/>
      <w:r w:rsidR="00776795">
        <w:rPr>
          <w:rFonts w:ascii="Book Antiqua" w:eastAsia="Book Antiqua" w:hAnsi="Book Antiqua" w:cs="Book Antiqua"/>
          <w:b/>
          <w:bCs/>
          <w:color w:val="000000" w:themeColor="text1"/>
        </w:rPr>
        <w:t>thyréocyte</w:t>
      </w:r>
      <w:proofErr w:type="spellEnd"/>
      <w:r w:rsidR="00776795">
        <w:rPr>
          <w:rFonts w:ascii="Book Antiqua" w:eastAsia="Book Antiqua" w:hAnsi="Book Antiqua" w:cs="Book Antiqua"/>
          <w:b/>
          <w:bCs/>
          <w:color w:val="000000" w:themeColor="text1"/>
        </w:rPr>
        <w:t xml:space="preserve"> mais pour intégrer</w:t>
      </w:r>
      <w:r w:rsidR="00502D73">
        <w:rPr>
          <w:rFonts w:ascii="Book Antiqua" w:eastAsia="Book Antiqua" w:hAnsi="Book Antiqua" w:cs="Book Antiqua"/>
          <w:b/>
          <w:bCs/>
          <w:color w:val="000000" w:themeColor="text1"/>
        </w:rPr>
        <w:t xml:space="preserve"> la colloïde (zone de stockage), il faut un 2</w:t>
      </w:r>
      <w:r w:rsidR="00502D73" w:rsidRPr="00502D73">
        <w:rPr>
          <w:rFonts w:ascii="Book Antiqua" w:eastAsia="Book Antiqua" w:hAnsi="Book Antiqua" w:cs="Book Antiqua"/>
          <w:b/>
          <w:bCs/>
          <w:color w:val="000000" w:themeColor="text1"/>
          <w:vertAlign w:val="superscript"/>
        </w:rPr>
        <w:t>ème</w:t>
      </w:r>
      <w:r w:rsidR="00502D73">
        <w:rPr>
          <w:rFonts w:ascii="Book Antiqua" w:eastAsia="Book Antiqua" w:hAnsi="Book Antiqua" w:cs="Book Antiqua"/>
          <w:b/>
          <w:bCs/>
          <w:color w:val="000000" w:themeColor="text1"/>
        </w:rPr>
        <w:t xml:space="preserve"> transporteur la</w:t>
      </w:r>
      <w:r w:rsidR="00316357">
        <w:rPr>
          <w:rFonts w:ascii="Book Antiqua" w:eastAsia="Book Antiqua" w:hAnsi="Book Antiqua" w:cs="Book Antiqua"/>
          <w:b/>
          <w:bCs/>
          <w:color w:val="000000" w:themeColor="text1"/>
        </w:rPr>
        <w:t xml:space="preserve"> </w:t>
      </w:r>
      <w:proofErr w:type="spellStart"/>
      <w:r w:rsidR="00316357">
        <w:rPr>
          <w:rFonts w:ascii="Book Antiqua" w:eastAsia="Book Antiqua" w:hAnsi="Book Antiqua" w:cs="Book Antiqua"/>
          <w:b/>
          <w:bCs/>
          <w:color w:val="000000" w:themeColor="text1"/>
        </w:rPr>
        <w:t>pendrine</w:t>
      </w:r>
      <w:proofErr w:type="spellEnd"/>
      <w:r w:rsidR="00316357">
        <w:rPr>
          <w:rFonts w:ascii="Book Antiqua" w:eastAsia="Book Antiqua" w:hAnsi="Book Antiqua" w:cs="Book Antiqua"/>
          <w:b/>
          <w:bCs/>
          <w:color w:val="000000" w:themeColor="text1"/>
        </w:rPr>
        <w:t>. TSH est libéré par l’hypophyse qui passe via un récept</w:t>
      </w:r>
      <w:r w:rsidR="00B23A6D">
        <w:rPr>
          <w:rFonts w:ascii="Book Antiqua" w:eastAsia="Book Antiqua" w:hAnsi="Book Antiqua" w:cs="Book Antiqua"/>
          <w:b/>
          <w:bCs/>
          <w:color w:val="000000" w:themeColor="text1"/>
        </w:rPr>
        <w:t xml:space="preserve">eur de la TSH et déclenche la production de </w:t>
      </w:r>
      <w:proofErr w:type="spellStart"/>
      <w:r w:rsidR="00B23A6D">
        <w:rPr>
          <w:rFonts w:ascii="Book Antiqua" w:eastAsia="Book Antiqua" w:hAnsi="Book Antiqua" w:cs="Book Antiqua"/>
          <w:b/>
          <w:bCs/>
          <w:color w:val="000000" w:themeColor="text1"/>
        </w:rPr>
        <w:t>Thyroglobuline</w:t>
      </w:r>
      <w:proofErr w:type="spellEnd"/>
      <w:r w:rsidR="0047704C">
        <w:rPr>
          <w:rFonts w:ascii="Book Antiqua" w:eastAsia="Book Antiqua" w:hAnsi="Book Antiqua" w:cs="Book Antiqua"/>
          <w:b/>
          <w:bCs/>
          <w:color w:val="000000" w:themeColor="text1"/>
        </w:rPr>
        <w:t xml:space="preserve"> (qui va être également stocké)</w:t>
      </w:r>
      <w:r w:rsidR="00B23A6D">
        <w:rPr>
          <w:rFonts w:ascii="Book Antiqua" w:eastAsia="Book Antiqua" w:hAnsi="Book Antiqua" w:cs="Book Antiqua"/>
          <w:b/>
          <w:bCs/>
          <w:color w:val="000000" w:themeColor="text1"/>
        </w:rPr>
        <w:t>.</w:t>
      </w:r>
      <w:r w:rsidR="0047704C">
        <w:rPr>
          <w:rFonts w:ascii="Book Antiqua" w:eastAsia="Book Antiqua" w:hAnsi="Book Antiqua" w:cs="Book Antiqua"/>
          <w:b/>
          <w:bCs/>
          <w:color w:val="000000" w:themeColor="text1"/>
        </w:rPr>
        <w:t xml:space="preserve"> Il va y avoir l’assemblage</w:t>
      </w:r>
      <w:r w:rsidR="00973A35">
        <w:rPr>
          <w:rFonts w:ascii="Book Antiqua" w:eastAsia="Book Antiqua" w:hAnsi="Book Antiqua" w:cs="Book Antiqua"/>
          <w:b/>
          <w:bCs/>
          <w:color w:val="000000" w:themeColor="text1"/>
        </w:rPr>
        <w:t xml:space="preserve"> de l’iode + </w:t>
      </w:r>
      <w:proofErr w:type="spellStart"/>
      <w:r w:rsidR="00973A35">
        <w:rPr>
          <w:rFonts w:ascii="Book Antiqua" w:eastAsia="Book Antiqua" w:hAnsi="Book Antiqua" w:cs="Book Antiqua"/>
          <w:b/>
          <w:bCs/>
          <w:color w:val="000000" w:themeColor="text1"/>
        </w:rPr>
        <w:t>Thyroglobuline</w:t>
      </w:r>
      <w:proofErr w:type="spellEnd"/>
      <w:r w:rsidR="00973A35">
        <w:rPr>
          <w:rFonts w:ascii="Book Antiqua" w:eastAsia="Book Antiqua" w:hAnsi="Book Antiqua" w:cs="Book Antiqua"/>
          <w:b/>
          <w:bCs/>
          <w:color w:val="000000" w:themeColor="text1"/>
        </w:rPr>
        <w:t xml:space="preserve"> par </w:t>
      </w:r>
      <w:r w:rsidR="00836600">
        <w:rPr>
          <w:rFonts w:ascii="Book Antiqua" w:eastAsia="Book Antiqua" w:hAnsi="Book Antiqua" w:cs="Book Antiqua"/>
          <w:b/>
          <w:bCs/>
          <w:color w:val="000000" w:themeColor="text1"/>
        </w:rPr>
        <w:t xml:space="preserve">l’intermédiaire de l’enzyme </w:t>
      </w:r>
      <w:proofErr w:type="spellStart"/>
      <w:r w:rsidR="00836600">
        <w:rPr>
          <w:rFonts w:ascii="Book Antiqua" w:eastAsia="Book Antiqua" w:hAnsi="Book Antiqua" w:cs="Book Antiqua"/>
          <w:b/>
          <w:bCs/>
          <w:color w:val="000000" w:themeColor="text1"/>
        </w:rPr>
        <w:t>Thyropéroxydase</w:t>
      </w:r>
      <w:proofErr w:type="spellEnd"/>
      <w:r w:rsidR="00836600">
        <w:rPr>
          <w:rFonts w:ascii="Book Antiqua" w:eastAsia="Book Antiqua" w:hAnsi="Book Antiqua" w:cs="Book Antiqua"/>
          <w:b/>
          <w:bCs/>
          <w:color w:val="000000" w:themeColor="text1"/>
        </w:rPr>
        <w:t xml:space="preserve">. </w:t>
      </w:r>
      <w:r w:rsidR="00EF64E9">
        <w:rPr>
          <w:rFonts w:ascii="Book Antiqua" w:eastAsia="Book Antiqua" w:hAnsi="Book Antiqua" w:cs="Book Antiqua"/>
          <w:b/>
          <w:bCs/>
          <w:color w:val="000000" w:themeColor="text1"/>
        </w:rPr>
        <w:t xml:space="preserve">À la demande il va y avoir pénétration de la </w:t>
      </w:r>
      <w:proofErr w:type="spellStart"/>
      <w:r w:rsidR="00EF64E9">
        <w:rPr>
          <w:rFonts w:ascii="Book Antiqua" w:eastAsia="Book Antiqua" w:hAnsi="Book Antiqua" w:cs="Book Antiqua"/>
          <w:b/>
          <w:bCs/>
          <w:color w:val="000000" w:themeColor="text1"/>
        </w:rPr>
        <w:t>Thyroglobuline</w:t>
      </w:r>
      <w:proofErr w:type="spellEnd"/>
      <w:r w:rsidR="00EF64E9">
        <w:rPr>
          <w:rFonts w:ascii="Book Antiqua" w:eastAsia="Book Antiqua" w:hAnsi="Book Antiqua" w:cs="Book Antiqua"/>
          <w:b/>
          <w:bCs/>
          <w:color w:val="000000" w:themeColor="text1"/>
        </w:rPr>
        <w:t xml:space="preserve"> dans le pôle basale qui va être cintré pour </w:t>
      </w:r>
      <w:r w:rsidR="00013948">
        <w:rPr>
          <w:rFonts w:ascii="Book Antiqua" w:eastAsia="Book Antiqua" w:hAnsi="Book Antiqua" w:cs="Book Antiqua"/>
          <w:b/>
          <w:bCs/>
          <w:color w:val="000000" w:themeColor="text1"/>
        </w:rPr>
        <w:t xml:space="preserve">donner T4 et T3. Ce qui en excès va être </w:t>
      </w:r>
      <w:proofErr w:type="spellStart"/>
      <w:r w:rsidR="00013948">
        <w:rPr>
          <w:rFonts w:ascii="Book Antiqua" w:eastAsia="Book Antiqua" w:hAnsi="Book Antiqua" w:cs="Book Antiqua"/>
          <w:b/>
          <w:bCs/>
          <w:color w:val="000000" w:themeColor="text1"/>
        </w:rPr>
        <w:t>relarguer</w:t>
      </w:r>
      <w:proofErr w:type="spellEnd"/>
      <w:r w:rsidR="00013948">
        <w:rPr>
          <w:rFonts w:ascii="Book Antiqua" w:eastAsia="Book Antiqua" w:hAnsi="Book Antiqua" w:cs="Book Antiqua"/>
          <w:b/>
          <w:bCs/>
          <w:color w:val="000000" w:themeColor="text1"/>
        </w:rPr>
        <w:t xml:space="preserve"> dans la circulat</w:t>
      </w:r>
      <w:r w:rsidR="008B0173">
        <w:rPr>
          <w:rFonts w:ascii="Book Antiqua" w:eastAsia="Book Antiqua" w:hAnsi="Book Antiqua" w:cs="Book Antiqua"/>
          <w:b/>
          <w:bCs/>
          <w:color w:val="000000" w:themeColor="text1"/>
        </w:rPr>
        <w:t xml:space="preserve">ion sanguine. T4 et T3 besoin de transporteur </w:t>
      </w:r>
      <w:r w:rsidR="006134CB">
        <w:rPr>
          <w:rFonts w:ascii="Book Antiqua" w:eastAsia="Book Antiqua" w:hAnsi="Book Antiqua" w:cs="Book Antiqua"/>
          <w:b/>
          <w:bCs/>
          <w:color w:val="000000" w:themeColor="text1"/>
        </w:rPr>
        <w:t>pour aller vers les organes cibles. Ce transporteur c’est TBG</w:t>
      </w:r>
      <w:r w:rsidR="00A110AE">
        <w:rPr>
          <w:rFonts w:ascii="Book Antiqua" w:eastAsia="Book Antiqua" w:hAnsi="Book Antiqua" w:cs="Book Antiqua"/>
          <w:b/>
          <w:bCs/>
          <w:color w:val="000000" w:themeColor="text1"/>
        </w:rPr>
        <w:t xml:space="preserve">. De T4 va être transformer </w:t>
      </w:r>
      <w:r w:rsidR="00ED6481">
        <w:rPr>
          <w:rFonts w:ascii="Book Antiqua" w:eastAsia="Book Antiqua" w:hAnsi="Book Antiqua" w:cs="Book Antiqua"/>
          <w:b/>
          <w:bCs/>
          <w:color w:val="000000" w:themeColor="text1"/>
        </w:rPr>
        <w:t>en T</w:t>
      </w:r>
      <w:r w:rsidR="002F16DB">
        <w:rPr>
          <w:rFonts w:ascii="Book Antiqua" w:eastAsia="Book Antiqua" w:hAnsi="Book Antiqua" w:cs="Book Antiqua"/>
          <w:b/>
          <w:bCs/>
          <w:color w:val="000000" w:themeColor="text1"/>
        </w:rPr>
        <w:t>3 pour</w:t>
      </w:r>
      <w:r w:rsidR="00ED6481">
        <w:rPr>
          <w:rFonts w:ascii="Book Antiqua" w:eastAsia="Book Antiqua" w:hAnsi="Book Antiqua" w:cs="Book Antiqua"/>
          <w:b/>
          <w:bCs/>
          <w:color w:val="000000" w:themeColor="text1"/>
        </w:rPr>
        <w:t xml:space="preserve"> les organes.</w:t>
      </w:r>
    </w:p>
    <w:p w14:paraId="7A33A1F8" w14:textId="798381C6" w:rsidR="00F53A33" w:rsidRPr="00F53A33" w:rsidRDefault="0021297A">
      <w:pPr>
        <w:spacing w:before="140" w:after="40"/>
        <w:rPr>
          <w:rFonts w:ascii="Book Antiqua" w:eastAsia="Book Antiqua" w:hAnsi="Book Antiqua" w:cs="Book Antiqua"/>
          <w:b/>
          <w:bCs/>
          <w:color w:val="000000" w:themeColor="text1"/>
        </w:rPr>
      </w:pPr>
      <w:r>
        <w:rPr>
          <w:rFonts w:ascii="Book Antiqua" w:eastAsia="Book Antiqua" w:hAnsi="Book Antiqua" w:cs="Book Antiqua"/>
          <w:b/>
          <w:bCs/>
          <w:color w:val="000000" w:themeColor="text1"/>
        </w:rPr>
        <w:t xml:space="preserve">(Schéma de droite pour </w:t>
      </w:r>
      <w:r w:rsidR="00D46DB1">
        <w:rPr>
          <w:rFonts w:ascii="Book Antiqua" w:eastAsia="Book Antiqua" w:hAnsi="Book Antiqua" w:cs="Book Antiqua"/>
          <w:b/>
          <w:bCs/>
          <w:color w:val="000000" w:themeColor="text1"/>
        </w:rPr>
        <w:t xml:space="preserve">transformation de </w:t>
      </w:r>
      <w:r>
        <w:rPr>
          <w:rFonts w:ascii="Book Antiqua" w:eastAsia="Book Antiqua" w:hAnsi="Book Antiqua" w:cs="Book Antiqua"/>
          <w:b/>
          <w:bCs/>
          <w:color w:val="000000" w:themeColor="text1"/>
        </w:rPr>
        <w:t>T</w:t>
      </w:r>
      <w:r w:rsidR="00D46DB1">
        <w:rPr>
          <w:rFonts w:ascii="Book Antiqua" w:eastAsia="Book Antiqua" w:hAnsi="Book Antiqua" w:cs="Book Antiqua"/>
          <w:b/>
          <w:bCs/>
          <w:color w:val="000000" w:themeColor="text1"/>
        </w:rPr>
        <w:t>4 en T3)</w:t>
      </w:r>
      <w:r w:rsidR="00924FE8">
        <w:rPr>
          <w:rFonts w:ascii="Book Antiqua" w:eastAsia="Book Antiqua" w:hAnsi="Book Antiqua" w:cs="Book Antiqua"/>
          <w:b/>
          <w:bCs/>
          <w:color w:val="000000" w:themeColor="text1"/>
        </w:rPr>
        <w:t xml:space="preserve"> </w:t>
      </w:r>
    </w:p>
    <w:p w14:paraId="1CBD6E53" w14:textId="631B630B" w:rsidR="00F53A33" w:rsidRDefault="002F16DB">
      <w:pPr>
        <w:spacing w:before="140" w:after="40"/>
        <w:rPr>
          <w:rFonts w:ascii="Book Antiqua" w:eastAsia="Book Antiqua" w:hAnsi="Book Antiqua" w:cs="Book Antiqua"/>
          <w:b/>
          <w:bCs/>
          <w:color w:val="1A1A1A" w:themeColor="background1" w:themeShade="1A"/>
        </w:rPr>
      </w:pPr>
      <w:r w:rsidRPr="00EB2F22">
        <w:rPr>
          <w:rFonts w:ascii="Book Antiqua" w:eastAsia="Book Antiqua" w:hAnsi="Book Antiqua" w:cs="Book Antiqua"/>
          <w:b/>
          <w:bCs/>
          <w:color w:val="1A1A1A" w:themeColor="background1" w:themeShade="1A"/>
        </w:rPr>
        <w:t xml:space="preserve">Troubles de la </w:t>
      </w:r>
      <w:r w:rsidR="00EB2F22" w:rsidRPr="00EB2F22">
        <w:rPr>
          <w:rFonts w:ascii="Book Antiqua" w:eastAsia="Book Antiqua" w:hAnsi="Book Antiqua" w:cs="Book Antiqua"/>
          <w:b/>
          <w:bCs/>
          <w:color w:val="1A1A1A" w:themeColor="background1" w:themeShade="1A"/>
        </w:rPr>
        <w:t>Thyroïde (Manque de Vitamine D)</w:t>
      </w:r>
    </w:p>
    <w:p w14:paraId="389A7A16" w14:textId="62996E6E" w:rsidR="00E70BA7" w:rsidRPr="00E7656E" w:rsidRDefault="00E7656E">
      <w:pPr>
        <w:spacing w:before="140" w:after="40"/>
        <w:rPr>
          <w:rFonts w:ascii="Book Antiqua" w:eastAsia="Book Antiqua" w:hAnsi="Book Antiqua" w:cs="Book Antiqua"/>
          <w:b/>
          <w:bCs/>
          <w:color w:val="1A1A1A" w:themeColor="background1" w:themeShade="1A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A1C0808" wp14:editId="7C624FB9">
            <wp:simplePos x="0" y="0"/>
            <wp:positionH relativeFrom="column">
              <wp:posOffset>-326560</wp:posOffset>
            </wp:positionH>
            <wp:positionV relativeFrom="paragraph">
              <wp:posOffset>234192</wp:posOffset>
            </wp:positionV>
            <wp:extent cx="6911975" cy="2820670"/>
            <wp:effectExtent l="0" t="0" r="0" b="0"/>
            <wp:wrapTopAndBottom/>
            <wp:docPr id="8043386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38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197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6D897" w14:textId="29D99F35" w:rsidR="00A67868" w:rsidRDefault="00C246F5">
      <w:pPr>
        <w:spacing w:before="140" w:after="40"/>
      </w:pPr>
      <w:r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>Cofacteurs indispensables à la synthèse</w:t>
      </w:r>
    </w:p>
    <w:p w14:paraId="6E2FFAC9" w14:textId="0038F0BC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TPO (</w:t>
      </w: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thyroperoxydase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) : </w:t>
      </w:r>
      <w:r>
        <w:rPr>
          <w:rFonts w:ascii="Book Antiqua" w:eastAsia="Book Antiqua" w:hAnsi="Book Antiqua" w:cs="Book Antiqua"/>
          <w:sz w:val="22"/>
          <w:szCs w:val="22"/>
        </w:rPr>
        <w:t xml:space="preserve">Fe, sélénium, zinc,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molybdène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>, manganèse, vit D, vit A</w:t>
      </w:r>
      <w:r w:rsidR="0055088F">
        <w:rPr>
          <w:rFonts w:ascii="Book Antiqua" w:eastAsia="Book Antiqua" w:hAnsi="Book Antiqua" w:cs="Book Antiqua"/>
          <w:sz w:val="22"/>
          <w:szCs w:val="22"/>
        </w:rPr>
        <w:t xml:space="preserve"> (co </w:t>
      </w:r>
      <w:r w:rsidR="00707CD2">
        <w:rPr>
          <w:rFonts w:ascii="Book Antiqua" w:eastAsia="Book Antiqua" w:hAnsi="Book Antiqua" w:cs="Book Antiqua"/>
          <w:sz w:val="22"/>
          <w:szCs w:val="22"/>
        </w:rPr>
        <w:t xml:space="preserve">facteur pour fabriquer les hormones). </w:t>
      </w:r>
    </w:p>
    <w:p w14:paraId="41B4DA5E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Désiodase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(T4→T3) : </w:t>
      </w:r>
      <w:r>
        <w:rPr>
          <w:rFonts w:ascii="Book Antiqua" w:eastAsia="Book Antiqua" w:hAnsi="Book Antiqua" w:cs="Book Antiqua"/>
          <w:sz w:val="22"/>
          <w:szCs w:val="22"/>
        </w:rPr>
        <w:t xml:space="preserve">Fe, sélénium, zinc,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molybdène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>, magnésium, vit B6, vit C, vit E</w:t>
      </w:r>
    </w:p>
    <w:p w14:paraId="522A30D3" w14:textId="46C99183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Iode : </w:t>
      </w:r>
      <w:r>
        <w:rPr>
          <w:rFonts w:ascii="Book Antiqua" w:eastAsia="Book Antiqua" w:hAnsi="Book Antiqua" w:cs="Book Antiqua"/>
          <w:sz w:val="22"/>
          <w:szCs w:val="22"/>
        </w:rPr>
        <w:t xml:space="preserve">ANC adulte : </w:t>
      </w:r>
      <w:r w:rsidRPr="00917EAA">
        <w:rPr>
          <w:rFonts w:ascii="Book Antiqua" w:eastAsia="Book Antiqua" w:hAnsi="Book Antiqua" w:cs="Book Antiqua"/>
          <w:b/>
          <w:bCs/>
          <w:color w:val="77206D" w:themeColor="accent5" w:themeShade="BF"/>
          <w:sz w:val="22"/>
          <w:szCs w:val="22"/>
        </w:rPr>
        <w:t xml:space="preserve">150 µg/j </w:t>
      </w:r>
      <w:r>
        <w:rPr>
          <w:rFonts w:ascii="Book Antiqua" w:eastAsia="Book Antiqua" w:hAnsi="Book Antiqua" w:cs="Book Antiqua"/>
          <w:sz w:val="22"/>
          <w:szCs w:val="22"/>
        </w:rPr>
        <w:t>— femme enceinte/allaitante : 200 µg/j</w:t>
      </w:r>
      <w:r w:rsidR="00252797">
        <w:rPr>
          <w:rFonts w:ascii="Book Antiqua" w:eastAsia="Book Antiqua" w:hAnsi="Book Antiqua" w:cs="Book Antiqua"/>
          <w:sz w:val="22"/>
          <w:szCs w:val="22"/>
        </w:rPr>
        <w:t xml:space="preserve"> (iode est très volatile</w:t>
      </w:r>
      <w:r w:rsidR="000F5AE4">
        <w:rPr>
          <w:rFonts w:ascii="Book Antiqua" w:eastAsia="Book Antiqua" w:hAnsi="Book Antiqua" w:cs="Book Antiqua"/>
          <w:sz w:val="22"/>
          <w:szCs w:val="22"/>
        </w:rPr>
        <w:t xml:space="preserve">, boîte </w:t>
      </w:r>
      <w:r w:rsidR="00963ADF">
        <w:rPr>
          <w:rFonts w:ascii="Book Antiqua" w:eastAsia="Book Antiqua" w:hAnsi="Book Antiqua" w:cs="Book Antiqua"/>
          <w:sz w:val="22"/>
          <w:szCs w:val="22"/>
        </w:rPr>
        <w:t>hermétique et refermer rapidement</w:t>
      </w:r>
      <w:r w:rsidR="00024294">
        <w:rPr>
          <w:rFonts w:ascii="Book Antiqua" w:eastAsia="Book Antiqua" w:hAnsi="Book Antiqua" w:cs="Book Antiqua"/>
          <w:sz w:val="22"/>
          <w:szCs w:val="22"/>
        </w:rPr>
        <w:t>). Dans l’estomac sous</w:t>
      </w:r>
      <w:r w:rsidR="00DB5A92">
        <w:rPr>
          <w:rFonts w:ascii="Book Antiqua" w:eastAsia="Book Antiqua" w:hAnsi="Book Antiqua" w:cs="Book Antiqua"/>
          <w:sz w:val="22"/>
          <w:szCs w:val="22"/>
        </w:rPr>
        <w:t xml:space="preserve"> l’</w:t>
      </w:r>
      <w:r w:rsidR="00946B5F">
        <w:rPr>
          <w:rFonts w:ascii="Book Antiqua" w:eastAsia="Book Antiqua" w:hAnsi="Book Antiqua" w:cs="Book Antiqua"/>
          <w:sz w:val="22"/>
          <w:szCs w:val="22"/>
        </w:rPr>
        <w:t>action de</w:t>
      </w:r>
      <w:r w:rsidR="00024294">
        <w:rPr>
          <w:rFonts w:ascii="Book Antiqua" w:eastAsia="Book Antiqua" w:hAnsi="Book Antiqua" w:cs="Book Antiqua"/>
          <w:sz w:val="22"/>
          <w:szCs w:val="22"/>
        </w:rPr>
        <w:t xml:space="preserve"> l’a</w:t>
      </w:r>
      <w:r w:rsidR="00DB5A92">
        <w:rPr>
          <w:rFonts w:ascii="Book Antiqua" w:eastAsia="Book Antiqua" w:hAnsi="Book Antiqua" w:cs="Book Antiqua"/>
          <w:sz w:val="22"/>
          <w:szCs w:val="22"/>
        </w:rPr>
        <w:t xml:space="preserve">cide chlorhydrique </w:t>
      </w:r>
      <w:r w:rsidR="00946B5F">
        <w:rPr>
          <w:rFonts w:ascii="Book Antiqua" w:eastAsia="Book Antiqua" w:hAnsi="Book Antiqua" w:cs="Book Antiqua"/>
          <w:sz w:val="22"/>
          <w:szCs w:val="22"/>
        </w:rPr>
        <w:t>est transformé en ion iodure</w:t>
      </w:r>
      <w:r w:rsidR="00436280">
        <w:rPr>
          <w:rFonts w:ascii="Book Antiqua" w:eastAsia="Book Antiqua" w:hAnsi="Book Antiqua" w:cs="Book Antiqua"/>
          <w:sz w:val="22"/>
          <w:szCs w:val="22"/>
        </w:rPr>
        <w:t xml:space="preserve"> qui pénètre dans la cellule </w:t>
      </w:r>
      <w:proofErr w:type="spellStart"/>
      <w:r w:rsidR="00436280">
        <w:rPr>
          <w:rFonts w:ascii="Book Antiqua" w:eastAsia="Book Antiqua" w:hAnsi="Book Antiqua" w:cs="Book Antiqua"/>
          <w:sz w:val="22"/>
          <w:szCs w:val="22"/>
        </w:rPr>
        <w:t>Thyréocyte</w:t>
      </w:r>
      <w:proofErr w:type="spellEnd"/>
      <w:r w:rsidR="00436280">
        <w:rPr>
          <w:rFonts w:ascii="Book Antiqua" w:eastAsia="Book Antiqua" w:hAnsi="Book Antiqua" w:cs="Book Antiqua"/>
          <w:sz w:val="22"/>
          <w:szCs w:val="22"/>
        </w:rPr>
        <w:t xml:space="preserve">, </w:t>
      </w:r>
      <w:r w:rsidR="00D876DE">
        <w:rPr>
          <w:rFonts w:ascii="Book Antiqua" w:eastAsia="Book Antiqua" w:hAnsi="Book Antiqua" w:cs="Book Antiqua"/>
          <w:sz w:val="22"/>
          <w:szCs w:val="22"/>
        </w:rPr>
        <w:t xml:space="preserve">donc si problématique au niveau des sucs </w:t>
      </w:r>
      <w:r w:rsidR="00FB34A8">
        <w:rPr>
          <w:rFonts w:ascii="Book Antiqua" w:eastAsia="Book Antiqua" w:hAnsi="Book Antiqua" w:cs="Book Antiqua"/>
          <w:sz w:val="22"/>
          <w:szCs w:val="22"/>
        </w:rPr>
        <w:t xml:space="preserve">gastrique pas assez d’HCL pose </w:t>
      </w:r>
      <w:proofErr w:type="spellStart"/>
      <w:r w:rsidR="00FB34A8">
        <w:rPr>
          <w:rFonts w:ascii="Book Antiqua" w:eastAsia="Book Antiqua" w:hAnsi="Book Antiqua" w:cs="Book Antiqua"/>
          <w:sz w:val="22"/>
          <w:szCs w:val="22"/>
        </w:rPr>
        <w:t>pb</w:t>
      </w:r>
      <w:proofErr w:type="spellEnd"/>
      <w:r w:rsidR="00FB34A8">
        <w:rPr>
          <w:rFonts w:ascii="Book Antiqua" w:eastAsia="Book Antiqua" w:hAnsi="Book Antiqua" w:cs="Book Antiqua"/>
          <w:sz w:val="22"/>
          <w:szCs w:val="22"/>
        </w:rPr>
        <w:t xml:space="preserve"> (</w:t>
      </w:r>
      <w:r w:rsidR="00E94943">
        <w:rPr>
          <w:rFonts w:ascii="Book Antiqua" w:eastAsia="Book Antiqua" w:hAnsi="Book Antiqua" w:cs="Book Antiqua"/>
          <w:sz w:val="22"/>
          <w:szCs w:val="22"/>
        </w:rPr>
        <w:t xml:space="preserve">ex : Les personnes qui prennent des inhibiteurs de la pompe à proton). </w:t>
      </w:r>
    </w:p>
    <w:p w14:paraId="379FDEFA" w14:textId="407EF504" w:rsidR="00A67868" w:rsidRPr="007A6849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T3 reverse : </w:t>
      </w:r>
      <w:r>
        <w:rPr>
          <w:rFonts w:ascii="Book Antiqua" w:eastAsia="Book Antiqua" w:hAnsi="Book Antiqua" w:cs="Book Antiqua"/>
          <w:sz w:val="22"/>
          <w:szCs w:val="22"/>
        </w:rPr>
        <w:t xml:space="preserve">Produite en excès si stress, carence sélénium, inflammation → symptômes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d'hypo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malgré T4 normale</w:t>
      </w:r>
      <w:r w:rsidR="007D509B">
        <w:rPr>
          <w:rFonts w:ascii="Book Antiqua" w:eastAsia="Book Antiqua" w:hAnsi="Book Antiqua" w:cs="Book Antiqua"/>
          <w:sz w:val="22"/>
          <w:szCs w:val="22"/>
        </w:rPr>
        <w:t>. Le corps produit en permanence l</w:t>
      </w:r>
      <w:r w:rsidR="00F34553">
        <w:rPr>
          <w:rFonts w:ascii="Book Antiqua" w:eastAsia="Book Antiqua" w:hAnsi="Book Antiqua" w:cs="Book Antiqua"/>
          <w:sz w:val="22"/>
          <w:szCs w:val="22"/>
        </w:rPr>
        <w:t xml:space="preserve">es deux mais il faut que ce soit à l’équilibre. </w:t>
      </w:r>
      <w:r w:rsidR="007A6849">
        <w:rPr>
          <w:rFonts w:ascii="Book Antiqua" w:eastAsia="Book Antiqua" w:hAnsi="Book Antiqua" w:cs="Book Antiqua"/>
          <w:sz w:val="22"/>
          <w:szCs w:val="22"/>
        </w:rPr>
        <w:t xml:space="preserve">Car si la T3 reverse prend la place de T3, il va y avoir un </w:t>
      </w:r>
      <w:proofErr w:type="spellStart"/>
      <w:r w:rsidR="007A6849">
        <w:rPr>
          <w:rFonts w:ascii="Book Antiqua" w:eastAsia="Book Antiqua" w:hAnsi="Book Antiqua" w:cs="Book Antiqua"/>
          <w:sz w:val="22"/>
          <w:szCs w:val="22"/>
        </w:rPr>
        <w:t>relargague</w:t>
      </w:r>
      <w:proofErr w:type="spellEnd"/>
      <w:r w:rsidR="007A6849">
        <w:rPr>
          <w:rFonts w:ascii="Book Antiqua" w:eastAsia="Book Antiqua" w:hAnsi="Book Antiqua" w:cs="Book Antiqua"/>
          <w:sz w:val="22"/>
          <w:szCs w:val="22"/>
        </w:rPr>
        <w:t xml:space="preserve"> au niveau de l’hypothalamus et </w:t>
      </w:r>
      <w:proofErr w:type="spellStart"/>
      <w:r w:rsidR="007A6849">
        <w:rPr>
          <w:rFonts w:ascii="Book Antiqua" w:eastAsia="Book Antiqua" w:hAnsi="Book Antiqua" w:cs="Book Antiqua"/>
          <w:sz w:val="22"/>
          <w:szCs w:val="22"/>
        </w:rPr>
        <w:t>Hypothhyroidie</w:t>
      </w:r>
      <w:proofErr w:type="spellEnd"/>
      <w:r w:rsidR="007A6849">
        <w:rPr>
          <w:rFonts w:ascii="Book Antiqua" w:eastAsia="Book Antiqua" w:hAnsi="Book Antiqua" w:cs="Book Antiqua"/>
          <w:sz w:val="22"/>
          <w:szCs w:val="22"/>
        </w:rPr>
        <w:t>.</w:t>
      </w:r>
    </w:p>
    <w:p w14:paraId="14F011B3" w14:textId="62D8EAB1" w:rsidR="007A6849" w:rsidRPr="00C45262" w:rsidRDefault="0049326F" w:rsidP="0049326F">
      <w:pPr>
        <w:pStyle w:val="Paragraphedeliste"/>
        <w:spacing w:before="20" w:after="20"/>
        <w:ind w:left="600"/>
        <w:rPr>
          <w:sz w:val="22"/>
          <w:szCs w:val="22"/>
        </w:rPr>
      </w:pPr>
      <w:r w:rsidRPr="00C45262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Normes R-</w:t>
      </w:r>
      <w:r w:rsidRPr="00C45262">
        <w:rPr>
          <w:sz w:val="22"/>
          <w:szCs w:val="22"/>
        </w:rPr>
        <w:t>T3 : 15&lt;N&lt;</w:t>
      </w:r>
      <w:proofErr w:type="spellStart"/>
      <w:r w:rsidRPr="00C45262">
        <w:rPr>
          <w:sz w:val="22"/>
          <w:szCs w:val="22"/>
        </w:rPr>
        <w:t>35ng</w:t>
      </w:r>
      <w:proofErr w:type="spellEnd"/>
      <w:r w:rsidRPr="00C45262">
        <w:rPr>
          <w:sz w:val="22"/>
          <w:szCs w:val="22"/>
        </w:rPr>
        <w:t>/dl</w:t>
      </w:r>
    </w:p>
    <w:p w14:paraId="29EAF725" w14:textId="0BDA08D6" w:rsidR="0049326F" w:rsidRDefault="0049326F" w:rsidP="0049326F">
      <w:pPr>
        <w:pStyle w:val="Paragraphedeliste"/>
        <w:spacing w:before="20" w:after="20"/>
        <w:ind w:left="600"/>
      </w:pPr>
      <w:r w:rsidRPr="00C45262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Demand</w:t>
      </w:r>
      <w:r w:rsidR="00C45262" w:rsidRPr="00C45262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ée si le taux :</w:t>
      </w:r>
      <w:r w:rsidR="00C45262" w:rsidRPr="00C45262">
        <w:rPr>
          <w:sz w:val="22"/>
          <w:szCs w:val="22"/>
        </w:rPr>
        <w:t xml:space="preserve"> de T3 libre ou totale est très bas.</w:t>
      </w:r>
    </w:p>
    <w:p w14:paraId="0B39EBE0" w14:textId="77777777" w:rsidR="00A67868" w:rsidRDefault="00C246F5">
      <w:pPr>
        <w:spacing w:before="140" w:after="40"/>
      </w:pPr>
      <w:r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>Normes biologiques clés</w:t>
      </w:r>
    </w:p>
    <w:p w14:paraId="481A95B0" w14:textId="77777777" w:rsidR="00A67868" w:rsidRDefault="00A67868">
      <w:pPr>
        <w:spacing w:before="40" w:after="80"/>
      </w:pPr>
    </w:p>
    <w:tbl>
      <w:tblPr>
        <w:tblW w:w="7360" w:type="dxa"/>
        <w:tblInd w:w="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360"/>
      </w:tblGrid>
      <w:tr w:rsidR="00A67868" w14:paraId="2981C8F0" w14:textId="77777777" w:rsidTr="0026321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D6C4F" w14:textId="77777777" w:rsidR="00A67868" w:rsidRDefault="00C246F5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Hormone / marqueur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0F7B4" w14:textId="77777777" w:rsidR="00A67868" w:rsidRDefault="00C246F5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Norme SANTÉ (Dr Claeys)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B8889" w14:textId="77777777" w:rsidR="00A67868" w:rsidRDefault="00C246F5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Norme laboratoire</w:t>
            </w:r>
          </w:p>
        </w:tc>
      </w:tr>
      <w:tr w:rsidR="00A67868" w14:paraId="214018BD" w14:textId="77777777" w:rsidTr="0026321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65881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</w:rPr>
              <w:t>TSH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E4B57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0,25 – 1,3 mUI/l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1D39D2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0,3 – 4,3 mUI/L</w:t>
            </w:r>
          </w:p>
        </w:tc>
      </w:tr>
      <w:tr w:rsidR="00A67868" w14:paraId="2ABE1B5B" w14:textId="77777777" w:rsidTr="0026321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01D045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</w:rPr>
              <w:t>T3 libre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9FB716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3,5 – 4,5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pmol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/l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3FC6E4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3,5 – 6,5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pmol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/l</w:t>
            </w:r>
          </w:p>
        </w:tc>
      </w:tr>
      <w:tr w:rsidR="00A67868" w14:paraId="34130ABE" w14:textId="77777777" w:rsidTr="0026321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2C3591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</w:rPr>
              <w:t>T4 libre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FEEC3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15 – 18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pmol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/l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47AF0C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9 – 26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pmol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/l</w:t>
            </w:r>
          </w:p>
        </w:tc>
      </w:tr>
      <w:tr w:rsidR="00A67868" w14:paraId="5A5FED8E" w14:textId="77777777" w:rsidTr="0026321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8FFB61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</w:rPr>
              <w:t>R-T3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ABA8B6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15 – 35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/dl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73F3E1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—</w:t>
            </w:r>
          </w:p>
        </w:tc>
      </w:tr>
      <w:tr w:rsidR="00A67868" w14:paraId="786F8B0B" w14:textId="77777777" w:rsidTr="0026321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29534D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</w:rPr>
              <w:t>Anti-TPO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6D8E56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&lt; 34 kUI/l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FA3927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&lt; 34 kUI/l</w:t>
            </w:r>
          </w:p>
        </w:tc>
      </w:tr>
      <w:tr w:rsidR="00A67868" w14:paraId="397447B5" w14:textId="77777777" w:rsidTr="0026321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362B31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</w:rPr>
              <w:t>Anti-Tg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23DCEE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&lt; 115 kIU/l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DF600A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&lt; 115 kIU/l</w:t>
            </w:r>
          </w:p>
        </w:tc>
      </w:tr>
    </w:tbl>
    <w:p w14:paraId="4CBF8F4F" w14:textId="77777777" w:rsidR="00D814B4" w:rsidRDefault="00D814B4">
      <w:pPr>
        <w:spacing w:before="40" w:after="20"/>
        <w:rPr>
          <w:rFonts w:ascii="Book Antiqua" w:eastAsia="Book Antiqua" w:hAnsi="Book Antiqua" w:cs="Book Antiqua"/>
          <w:i/>
          <w:iCs/>
          <w:color w:val="B94040"/>
          <w:sz w:val="21"/>
          <w:szCs w:val="21"/>
        </w:rPr>
      </w:pPr>
    </w:p>
    <w:p w14:paraId="7BF78507" w14:textId="77777777" w:rsidR="00D814B4" w:rsidRDefault="00D814B4">
      <w:pPr>
        <w:spacing w:before="40" w:after="20"/>
        <w:rPr>
          <w:rFonts w:ascii="Book Antiqua" w:eastAsia="Book Antiqua" w:hAnsi="Book Antiqua" w:cs="Book Antiqua"/>
          <w:i/>
          <w:iCs/>
          <w:color w:val="B94040"/>
          <w:sz w:val="21"/>
          <w:szCs w:val="21"/>
        </w:rPr>
      </w:pPr>
    </w:p>
    <w:p w14:paraId="29DD884D" w14:textId="187CE321" w:rsidR="00F53CE0" w:rsidRPr="002323F7" w:rsidRDefault="00C246F5">
      <w:pPr>
        <w:spacing w:before="40" w:after="20"/>
        <w:rPr>
          <w:rFonts w:ascii="Book Antiqua" w:eastAsia="Book Antiqua" w:hAnsi="Book Antiqua" w:cs="Book Antiqua"/>
          <w:i/>
          <w:iCs/>
          <w:color w:val="B94040"/>
          <w:sz w:val="21"/>
          <w:szCs w:val="21"/>
        </w:rPr>
      </w:pPr>
      <w:r>
        <w:rPr>
          <w:rFonts w:ascii="Book Antiqua" w:eastAsia="Book Antiqua" w:hAnsi="Book Antiqua" w:cs="Book Antiqua"/>
          <w:i/>
          <w:iCs/>
          <w:color w:val="B94040"/>
          <w:sz w:val="21"/>
          <w:szCs w:val="21"/>
        </w:rPr>
        <w:t>⚠ TSH santé ≈ 1,3–1,5 mUI/l — plus la TSH monte, plus le risque de pathologie augment</w:t>
      </w:r>
      <w:r w:rsidR="00E713DF">
        <w:rPr>
          <w:rFonts w:ascii="Book Antiqua" w:eastAsia="Book Antiqua" w:hAnsi="Book Antiqua" w:cs="Book Antiqua"/>
          <w:i/>
          <w:iCs/>
          <w:color w:val="B94040"/>
          <w:sz w:val="21"/>
          <w:szCs w:val="21"/>
        </w:rPr>
        <w:t>e</w:t>
      </w:r>
    </w:p>
    <w:p w14:paraId="570D991A" w14:textId="2615ADD5" w:rsidR="00A67868" w:rsidRDefault="00C246F5">
      <w:pPr>
        <w:spacing w:before="200" w:after="60"/>
      </w:pPr>
      <w:r>
        <w:rPr>
          <w:rFonts w:ascii="Book Antiqua" w:eastAsia="Book Antiqua" w:hAnsi="Book Antiqua" w:cs="Book Antiqua"/>
          <w:b/>
          <w:bCs/>
          <w:color w:val="1F3864"/>
          <w:sz w:val="32"/>
          <w:szCs w:val="32"/>
        </w:rPr>
        <w:lastRenderedPageBreak/>
        <w:t>▌ 2. CLASSIFICATION DES THYROÏDITES</w:t>
      </w:r>
      <w:r w:rsidR="00E713DF">
        <w:rPr>
          <w:rFonts w:ascii="Book Antiqua" w:eastAsia="Book Antiqua" w:hAnsi="Book Antiqua" w:cs="Book Antiqua"/>
          <w:b/>
          <w:bCs/>
          <w:color w:val="1F3864"/>
          <w:sz w:val="32"/>
          <w:szCs w:val="32"/>
        </w:rPr>
        <w:t xml:space="preserve"> </w:t>
      </w:r>
    </w:p>
    <w:p w14:paraId="3FB7697D" w14:textId="77777777" w:rsidR="00A67868" w:rsidRDefault="00A67868">
      <w:pPr>
        <w:pBdr>
          <w:bottom w:val="single" w:sz="8" w:space="1" w:color="2E6DA4"/>
        </w:pBdr>
        <w:spacing w:before="60" w:after="60"/>
      </w:pPr>
    </w:p>
    <w:p w14:paraId="7A56C197" w14:textId="77777777" w:rsidR="00A67868" w:rsidRDefault="00A67868">
      <w:pPr>
        <w:spacing w:before="40" w:after="8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1"/>
        <w:gridCol w:w="1473"/>
        <w:gridCol w:w="1697"/>
        <w:gridCol w:w="1853"/>
        <w:gridCol w:w="1686"/>
      </w:tblGrid>
      <w:tr w:rsidR="00A67868" w14:paraId="7A1D17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DAE3F" w14:textId="77777777" w:rsidR="00A67868" w:rsidRDefault="00C246F5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74A1" w14:textId="77777777" w:rsidR="00A67868" w:rsidRDefault="00C246F5">
            <w:pPr>
              <w:jc w:val="center"/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VS/CRP</w:t>
            </w:r>
          </w:p>
          <w:p w14:paraId="58229268" w14:textId="36070B0F" w:rsidR="00382A22" w:rsidRDefault="00382A22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(IL6 augment</w:t>
            </w:r>
            <w:r w:rsidR="00CE70CC"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é)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92CC" w14:textId="77777777" w:rsidR="00A67868" w:rsidRDefault="00C246F5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 xml:space="preserve">Fonction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thyroïd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15E87" w14:textId="77777777" w:rsidR="00A67868" w:rsidRDefault="00C246F5">
            <w:pPr>
              <w:jc w:val="center"/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Anticorps</w:t>
            </w:r>
          </w:p>
          <w:p w14:paraId="57A76EFB" w14:textId="565C3ACD" w:rsidR="005D0702" w:rsidRDefault="005D0702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 xml:space="preserve">Antithyroïdiens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68FA" w14:textId="77777777" w:rsidR="00A67868" w:rsidRDefault="00C246F5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Évolution</w:t>
            </w:r>
          </w:p>
        </w:tc>
      </w:tr>
      <w:tr w:rsidR="00A67868" w14:paraId="753D56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83E7D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Aiguë (infectieuse)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221D8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Oui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92C8B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Normale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FE9880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Absents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2D55B1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Guérison</w:t>
            </w:r>
          </w:p>
        </w:tc>
      </w:tr>
      <w:tr w:rsidR="00A67868" w14:paraId="7674D0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92F05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De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Quervain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 (subaiguë)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FDBF17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Oui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989AE5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Hyperthyroïdie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7AE5E1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Absents (surtout)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D1ECC4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Très faible risque hypothyroïdie</w:t>
            </w:r>
          </w:p>
        </w:tc>
      </w:tr>
      <w:tr w:rsidR="00A67868" w14:paraId="30F66B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747784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Subaiguë lymphocytaire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1A0AA6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Non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175A59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Hyper → parfois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hypo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F1CC37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Présents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4498D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Récidive possible, hypothyroïdie ?</w:t>
            </w:r>
          </w:p>
        </w:tc>
      </w:tr>
      <w:tr w:rsidR="00A67868" w14:paraId="4B592F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881AEB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De Hashimoto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7D9366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Exceptionnel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C646E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Normale /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dysfonction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F5A887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Présents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4F1158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Goitre, atrophie, hypothyroïdie</w:t>
            </w:r>
          </w:p>
        </w:tc>
      </w:tr>
      <w:tr w:rsidR="00A67868" w14:paraId="44E943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876128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De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Riedel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 (fibreuse)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71CC9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Oui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084262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Normale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E76AA4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Absents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F2E288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Rarement favorable</w:t>
            </w:r>
          </w:p>
        </w:tc>
      </w:tr>
    </w:tbl>
    <w:p w14:paraId="43DA61B1" w14:textId="77777777" w:rsidR="00A67868" w:rsidRDefault="00C246F5">
      <w:pPr>
        <w:spacing w:before="140" w:after="40"/>
      </w:pPr>
      <w:r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>4 aspects cliniques à identifier en entretien</w:t>
      </w:r>
    </w:p>
    <w:p w14:paraId="2BE29DD1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Douleur / inflammation :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cervicalgies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>, otalgie, dysphagie, fièvre, asthénie</w:t>
      </w:r>
    </w:p>
    <w:p w14:paraId="2FCD1E96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Dysfonction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hormonale : </w:t>
      </w:r>
      <w:r>
        <w:rPr>
          <w:rFonts w:ascii="Book Antiqua" w:eastAsia="Book Antiqua" w:hAnsi="Book Antiqua" w:cs="Book Antiqua"/>
          <w:sz w:val="22"/>
          <w:szCs w:val="22"/>
        </w:rPr>
        <w:t>hyperthyroïdie ou hypothyroïdie (cf. tableau des symptômes)</w:t>
      </w:r>
    </w:p>
    <w:p w14:paraId="6B1B3B27" w14:textId="5CC4336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Goitre / nodule : </w:t>
      </w:r>
      <w:r w:rsidR="002C4485">
        <w:rPr>
          <w:rFonts w:ascii="Book Antiqua" w:eastAsia="Book Antiqua" w:hAnsi="Book Antiqua" w:cs="Book Antiqua"/>
          <w:sz w:val="22"/>
          <w:szCs w:val="22"/>
        </w:rPr>
        <w:t>présent dan</w:t>
      </w:r>
      <w:r>
        <w:rPr>
          <w:rFonts w:ascii="Book Antiqua" w:eastAsia="Book Antiqua" w:hAnsi="Book Antiqua" w:cs="Book Antiqua"/>
          <w:sz w:val="22"/>
          <w:szCs w:val="22"/>
        </w:rPr>
        <w:t xml:space="preserve"> ~50 % des cas</w:t>
      </w:r>
    </w:p>
    <w:p w14:paraId="0EB93F22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Auto-immunité : </w:t>
      </w:r>
      <w:r>
        <w:rPr>
          <w:rFonts w:ascii="Book Antiqua" w:eastAsia="Book Antiqua" w:hAnsi="Book Antiqua" w:cs="Book Antiqua"/>
          <w:sz w:val="22"/>
          <w:szCs w:val="22"/>
        </w:rPr>
        <w:t>présence d'Ac anti-TPO, anti-Tg, anti-RTSH</w:t>
      </w:r>
    </w:p>
    <w:p w14:paraId="73B7A77B" w14:textId="77777777" w:rsidR="00A67868" w:rsidRDefault="00C246F5">
      <w:pPr>
        <w:spacing w:before="140" w:after="40"/>
      </w:pPr>
      <w:r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>Symptômes comparatifs HYPER / HYPO</w:t>
      </w:r>
    </w:p>
    <w:p w14:paraId="67A1195C" w14:textId="77777777" w:rsidR="00A67868" w:rsidRDefault="00A67868">
      <w:pPr>
        <w:spacing w:before="40"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4"/>
        <w:gridCol w:w="2306"/>
        <w:gridCol w:w="3050"/>
      </w:tblGrid>
      <w:tr w:rsidR="00A67868" w14:paraId="53BEE270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CC0B" w14:textId="77777777" w:rsidR="00A67868" w:rsidRDefault="00C246F5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Système</w:t>
            </w:r>
          </w:p>
        </w:tc>
        <w:tc>
          <w:tcPr>
            <w:tcW w:w="2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91DE" w14:textId="77777777" w:rsidR="00A67868" w:rsidRDefault="00C246F5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HYPERTHYROÏDIE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E39E" w14:textId="77777777" w:rsidR="00A67868" w:rsidRDefault="00C246F5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HYPOTHYROÏDIE</w:t>
            </w:r>
          </w:p>
        </w:tc>
      </w:tr>
      <w:tr w:rsidR="00A67868" w14:paraId="5A944B9A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01CBCF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Cardiaque</w:t>
            </w:r>
          </w:p>
        </w:tc>
        <w:tc>
          <w:tcPr>
            <w:tcW w:w="2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F4BE56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Tachycardie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369F91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Bradycardie</w:t>
            </w:r>
          </w:p>
        </w:tc>
      </w:tr>
      <w:tr w:rsidR="00A67868" w14:paraId="374019CB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252931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Muscles</w:t>
            </w:r>
          </w:p>
        </w:tc>
        <w:tc>
          <w:tcPr>
            <w:tcW w:w="2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A9F2E6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Tremblements / faiblesse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D840F0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Myalgie, crampes, arthralgie</w:t>
            </w:r>
          </w:p>
        </w:tc>
      </w:tr>
      <w:tr w:rsidR="00A67868" w14:paraId="565E7496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2A5C16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Psychisme / SNC</w:t>
            </w:r>
          </w:p>
        </w:tc>
        <w:tc>
          <w:tcPr>
            <w:tcW w:w="2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B7B94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Hyperémotivité, nervosité, insomnie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60B076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Apathie, ralentissement, dépression</w:t>
            </w:r>
          </w:p>
        </w:tc>
      </w:tr>
      <w:tr w:rsidR="00A67868" w14:paraId="229773A4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AB708B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Thermorégulation</w:t>
            </w:r>
          </w:p>
        </w:tc>
        <w:tc>
          <w:tcPr>
            <w:tcW w:w="2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093400" w14:textId="77777777" w:rsidR="00A67868" w:rsidRDefault="00C246F5"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Thermophobie</w:t>
            </w:r>
            <w:proofErr w:type="spellEnd"/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1CC3FD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Frilosité</w:t>
            </w:r>
          </w:p>
        </w:tc>
      </w:tr>
      <w:tr w:rsidR="00A67868" w14:paraId="1165BED6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3C0CEF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Métabolisme</w:t>
            </w:r>
          </w:p>
        </w:tc>
        <w:tc>
          <w:tcPr>
            <w:tcW w:w="2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C8E2B3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Perte de poids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ADB782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Prise de poids</w:t>
            </w:r>
          </w:p>
        </w:tc>
      </w:tr>
      <w:tr w:rsidR="00A67868" w14:paraId="794884B4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56CB99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Transit</w:t>
            </w:r>
          </w:p>
        </w:tc>
        <w:tc>
          <w:tcPr>
            <w:tcW w:w="2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D545F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Diarrhée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A854D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Constipation</w:t>
            </w:r>
          </w:p>
        </w:tc>
      </w:tr>
    </w:tbl>
    <w:p w14:paraId="3EF462B1" w14:textId="2E40754F" w:rsidR="00493D70" w:rsidRPr="00D46263" w:rsidRDefault="000B53E7">
      <w:pPr>
        <w:spacing w:before="200" w:after="60"/>
        <w:rPr>
          <w:rFonts w:ascii="Book Antiqua" w:eastAsia="Book Antiqua" w:hAnsi="Book Antiqua" w:cs="Book Antiqua"/>
          <w:color w:val="1F3864"/>
        </w:rPr>
      </w:pPr>
      <w:r w:rsidRPr="00D46263">
        <w:rPr>
          <w:rFonts w:ascii="Book Antiqua" w:eastAsia="Book Antiqua" w:hAnsi="Book Antiqua" w:cs="Book Antiqua"/>
          <w:color w:val="1A1A1A" w:themeColor="background1" w:themeShade="1A"/>
        </w:rPr>
        <w:t>Q</w:t>
      </w:r>
      <w:r w:rsidR="00096187" w:rsidRPr="00D46263">
        <w:rPr>
          <w:rFonts w:ascii="Book Antiqua" w:eastAsia="Book Antiqua" w:hAnsi="Book Antiqua" w:cs="Book Antiqua"/>
          <w:color w:val="1A1A1A" w:themeColor="background1" w:themeShade="1A"/>
        </w:rPr>
        <w:t>uand</w:t>
      </w:r>
      <w:r w:rsidR="00873479" w:rsidRPr="00D46263">
        <w:rPr>
          <w:rFonts w:ascii="Book Antiqua" w:eastAsia="Book Antiqua" w:hAnsi="Book Antiqua" w:cs="Book Antiqua"/>
          <w:color w:val="1A1A1A" w:themeColor="background1" w:themeShade="1A"/>
        </w:rPr>
        <w:t xml:space="preserve"> il y a le stress chroniques, les surrénales libèrent des hormo</w:t>
      </w:r>
      <w:r w:rsidR="004B0D20" w:rsidRPr="00D46263">
        <w:rPr>
          <w:rFonts w:ascii="Book Antiqua" w:eastAsia="Book Antiqua" w:hAnsi="Book Antiqua" w:cs="Book Antiqua"/>
          <w:color w:val="1A1A1A" w:themeColor="background1" w:themeShade="1A"/>
        </w:rPr>
        <w:t xml:space="preserve">nes qui participent aux métabolisme, quand </w:t>
      </w:r>
      <w:r w:rsidR="003677B2" w:rsidRPr="00D46263">
        <w:rPr>
          <w:rFonts w:ascii="Book Antiqua" w:eastAsia="Book Antiqua" w:hAnsi="Book Antiqua" w:cs="Book Antiqua"/>
          <w:color w:val="1A1A1A" w:themeColor="background1" w:themeShade="1A"/>
        </w:rPr>
        <w:t>celle-ci</w:t>
      </w:r>
      <w:r w:rsidR="004B0D20" w:rsidRPr="00D46263">
        <w:rPr>
          <w:rFonts w:ascii="Book Antiqua" w:eastAsia="Book Antiqua" w:hAnsi="Book Antiqua" w:cs="Book Antiqua"/>
          <w:color w:val="1A1A1A" w:themeColor="background1" w:themeShade="1A"/>
        </w:rPr>
        <w:t xml:space="preserve"> sont épuise, le relai est pris par la thyroïde. L</w:t>
      </w:r>
      <w:r w:rsidR="003677B2" w:rsidRPr="00D46263">
        <w:rPr>
          <w:rFonts w:ascii="Book Antiqua" w:eastAsia="Book Antiqua" w:hAnsi="Book Antiqua" w:cs="Book Antiqua"/>
          <w:color w:val="1A1A1A" w:themeColor="background1" w:themeShade="1A"/>
        </w:rPr>
        <w:t xml:space="preserve">a thyroïde va s’épuiser aussi. On passera de l’hyper à </w:t>
      </w:r>
      <w:proofErr w:type="spellStart"/>
      <w:r w:rsidR="003677B2" w:rsidRPr="00D46263">
        <w:rPr>
          <w:rFonts w:ascii="Book Antiqua" w:eastAsia="Book Antiqua" w:hAnsi="Book Antiqua" w:cs="Book Antiqua"/>
          <w:color w:val="1A1A1A" w:themeColor="background1" w:themeShade="1A"/>
        </w:rPr>
        <w:t>l</w:t>
      </w:r>
      <w:r w:rsidR="00D46263">
        <w:rPr>
          <w:rFonts w:ascii="Book Antiqua" w:eastAsia="Book Antiqua" w:hAnsi="Book Antiqua" w:cs="Book Antiqua"/>
          <w:color w:val="1A1A1A" w:themeColor="background1" w:themeShade="1A"/>
        </w:rPr>
        <w:t>’</w:t>
      </w:r>
      <w:r w:rsidR="003677B2" w:rsidRPr="00D46263">
        <w:rPr>
          <w:rFonts w:ascii="Book Antiqua" w:eastAsia="Book Antiqua" w:hAnsi="Book Antiqua" w:cs="Book Antiqua"/>
          <w:color w:val="1A1A1A" w:themeColor="background1" w:themeShade="1A"/>
        </w:rPr>
        <w:t>hypo</w:t>
      </w:r>
      <w:proofErr w:type="spellEnd"/>
      <w:r w:rsidR="003677B2" w:rsidRPr="00D46263">
        <w:rPr>
          <w:rFonts w:ascii="Book Antiqua" w:eastAsia="Book Antiqua" w:hAnsi="Book Antiqua" w:cs="Book Antiqua"/>
          <w:color w:val="1A1A1A" w:themeColor="background1" w:themeShade="1A"/>
        </w:rPr>
        <w:t>.</w:t>
      </w:r>
    </w:p>
    <w:p w14:paraId="470F1D71" w14:textId="77777777" w:rsidR="00493D70" w:rsidRDefault="00493D70">
      <w:pPr>
        <w:spacing w:before="200" w:after="60"/>
        <w:rPr>
          <w:rFonts w:ascii="Book Antiqua" w:eastAsia="Book Antiqua" w:hAnsi="Book Antiqua" w:cs="Book Antiqua"/>
          <w:b/>
          <w:bCs/>
          <w:color w:val="1F3864"/>
          <w:sz w:val="32"/>
          <w:szCs w:val="32"/>
        </w:rPr>
      </w:pPr>
    </w:p>
    <w:p w14:paraId="6E17F442" w14:textId="29E958A3" w:rsidR="00A67868" w:rsidRDefault="00C246F5">
      <w:pPr>
        <w:spacing w:before="200" w:after="60"/>
      </w:pPr>
      <w:r>
        <w:rPr>
          <w:rFonts w:ascii="Book Antiqua" w:eastAsia="Book Antiqua" w:hAnsi="Book Antiqua" w:cs="Book Antiqua"/>
          <w:b/>
          <w:bCs/>
          <w:color w:val="1F3864"/>
          <w:sz w:val="32"/>
          <w:szCs w:val="32"/>
        </w:rPr>
        <w:lastRenderedPageBreak/>
        <w:t>▌ 3. LES THYROÏDITES EN DÉTAIL</w:t>
      </w:r>
    </w:p>
    <w:p w14:paraId="28028662" w14:textId="77777777" w:rsidR="00A67868" w:rsidRDefault="00A67868">
      <w:pPr>
        <w:pBdr>
          <w:bottom w:val="single" w:sz="8" w:space="1" w:color="2E6DA4"/>
        </w:pBdr>
        <w:spacing w:before="60" w:after="60"/>
      </w:pPr>
    </w:p>
    <w:p w14:paraId="03EA2191" w14:textId="283EC0D1" w:rsidR="00A67868" w:rsidRDefault="00C246F5">
      <w:pPr>
        <w:spacing w:before="140" w:after="40"/>
      </w:pPr>
      <w:r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>Hypothyroïdie</w:t>
      </w:r>
      <w:r w:rsidR="00756785"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 xml:space="preserve"> (</w:t>
      </w:r>
      <w:r w:rsidR="00756785" w:rsidRPr="00574520">
        <w:rPr>
          <w:rFonts w:ascii="Book Antiqua" w:eastAsia="Book Antiqua" w:hAnsi="Book Antiqua" w:cs="Book Antiqua"/>
          <w:color w:val="2E6DA4"/>
          <w:sz w:val="26"/>
          <w:szCs w:val="26"/>
        </w:rPr>
        <w:t>incapacité de la thyroïde à produire suffisamment d’hormones thyroïdiennes)</w:t>
      </w:r>
    </w:p>
    <w:p w14:paraId="4816617C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Franche : </w:t>
      </w:r>
      <w:r>
        <w:rPr>
          <w:rFonts w:ascii="Book Antiqua" w:eastAsia="Book Antiqua" w:hAnsi="Book Antiqua" w:cs="Book Antiqua"/>
          <w:sz w:val="22"/>
          <w:szCs w:val="22"/>
        </w:rPr>
        <w:t>TSH &gt; 10 mU/l + T4 basse + signes cliniques</w:t>
      </w:r>
    </w:p>
    <w:p w14:paraId="1DA6B986" w14:textId="394617DD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Frustre / </w:t>
      </w: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subclinique</w:t>
      </w:r>
      <w:proofErr w:type="spellEnd"/>
      <w:r w:rsidR="00537426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(dysfonctionnement de la </w:t>
      </w:r>
      <w:r w:rsidR="00E36CE0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thyroïdes sans </w:t>
      </w:r>
      <w:r w:rsidR="004276A5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symptômes</w:t>
      </w:r>
      <w:r w:rsidR="00E36CE0"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)</w:t>
      </w: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: </w:t>
      </w:r>
      <w:r>
        <w:rPr>
          <w:rFonts w:ascii="Book Antiqua" w:eastAsia="Book Antiqua" w:hAnsi="Book Antiqua" w:cs="Book Antiqua"/>
          <w:sz w:val="22"/>
          <w:szCs w:val="22"/>
        </w:rPr>
        <w:t>TSH 4,5–10 mU/l + T4 normale + peu de signes — confirmer sur 2 dosages à 1 mois d'intervalle</w:t>
      </w:r>
    </w:p>
    <w:p w14:paraId="20281D9A" w14:textId="1C64CC1A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Primaire : </w:t>
      </w:r>
      <w:r>
        <w:rPr>
          <w:rFonts w:ascii="Book Antiqua" w:eastAsia="Book Antiqua" w:hAnsi="Book Antiqua" w:cs="Book Antiqua"/>
          <w:sz w:val="22"/>
          <w:szCs w:val="22"/>
        </w:rPr>
        <w:t>atteinte de la thyroïde elle-même</w:t>
      </w:r>
      <w:r w:rsidR="006C254C">
        <w:rPr>
          <w:rFonts w:ascii="Book Antiqua" w:eastAsia="Book Antiqua" w:hAnsi="Book Antiqua" w:cs="Book Antiqua"/>
          <w:sz w:val="22"/>
          <w:szCs w:val="22"/>
        </w:rPr>
        <w:t xml:space="preserve"> : </w:t>
      </w:r>
      <w:proofErr w:type="spellStart"/>
      <w:r w:rsidR="006C254C">
        <w:rPr>
          <w:rFonts w:ascii="Book Antiqua" w:eastAsia="Book Antiqua" w:hAnsi="Book Antiqua" w:cs="Book Antiqua"/>
          <w:sz w:val="22"/>
          <w:szCs w:val="22"/>
        </w:rPr>
        <w:t>TSh</w:t>
      </w:r>
      <w:proofErr w:type="spellEnd"/>
      <w:r w:rsidR="006C254C">
        <w:rPr>
          <w:rFonts w:ascii="Book Antiqua" w:eastAsia="Book Antiqua" w:hAnsi="Book Antiqua" w:cs="Book Antiqua"/>
          <w:sz w:val="22"/>
          <w:szCs w:val="22"/>
        </w:rPr>
        <w:t xml:space="preserve"> élevé, T4 basse</w:t>
      </w:r>
    </w:p>
    <w:p w14:paraId="3E046135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Secondaire : </w:t>
      </w:r>
      <w:r>
        <w:rPr>
          <w:rFonts w:ascii="Book Antiqua" w:eastAsia="Book Antiqua" w:hAnsi="Book Antiqua" w:cs="Book Antiqua"/>
          <w:sz w:val="22"/>
          <w:szCs w:val="22"/>
        </w:rPr>
        <w:t xml:space="preserve">atteinte de l'axe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hypothalamo-hypophysaire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(TSH normale ou basse + T4 basse)</w:t>
      </w:r>
    </w:p>
    <w:p w14:paraId="4911F3F0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Étiologies : </w:t>
      </w:r>
      <w:r>
        <w:rPr>
          <w:rFonts w:ascii="Book Antiqua" w:eastAsia="Book Antiqua" w:hAnsi="Book Antiqua" w:cs="Book Antiqua"/>
          <w:sz w:val="22"/>
          <w:szCs w:val="22"/>
        </w:rPr>
        <w:t>Hashimoto, carence iode, iatrogène (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amiodarone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, lithium, radiothérapie), chirurgie, De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Quervain</w:t>
      </w:r>
      <w:proofErr w:type="spellEnd"/>
    </w:p>
    <w:p w14:paraId="50C8152E" w14:textId="4D237473" w:rsidR="00A67868" w:rsidRPr="009731CD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Complications :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Myxœdème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(adulte) — retard de développement (enfant non traité)</w:t>
      </w:r>
      <w:r w:rsidR="009731CD">
        <w:rPr>
          <w:rFonts w:ascii="Book Antiqua" w:eastAsia="Book Antiqua" w:hAnsi="Book Antiqua" w:cs="Book Antiqua"/>
          <w:sz w:val="22"/>
          <w:szCs w:val="22"/>
        </w:rPr>
        <w:t>.</w:t>
      </w:r>
    </w:p>
    <w:p w14:paraId="32D16F4D" w14:textId="77777777" w:rsidR="00AC49C6" w:rsidRDefault="00AC49C6" w:rsidP="009731CD">
      <w:pPr>
        <w:pStyle w:val="Paragraphedeliste"/>
        <w:spacing w:before="20" w:after="20"/>
        <w:ind w:left="600"/>
      </w:pPr>
    </w:p>
    <w:p w14:paraId="360ECF8B" w14:textId="671F3216" w:rsidR="009731CD" w:rsidRDefault="009731CD" w:rsidP="009731CD">
      <w:pPr>
        <w:pStyle w:val="Paragraphedeliste"/>
        <w:spacing w:before="20" w:after="20"/>
        <w:ind w:left="60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F9BFAE7" wp14:editId="1D61EC49">
            <wp:simplePos x="0" y="0"/>
            <wp:positionH relativeFrom="column">
              <wp:posOffset>1138555</wp:posOffset>
            </wp:positionH>
            <wp:positionV relativeFrom="paragraph">
              <wp:posOffset>160655</wp:posOffset>
            </wp:positionV>
            <wp:extent cx="3924300" cy="2212340"/>
            <wp:effectExtent l="0" t="0" r="0" b="0"/>
            <wp:wrapTopAndBottom/>
            <wp:docPr id="1670908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08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8D3630" w14:textId="77777777" w:rsidR="00AC49C6" w:rsidRDefault="00AC49C6">
      <w:pPr>
        <w:spacing w:before="140" w:after="40"/>
        <w:rPr>
          <w:rFonts w:ascii="Book Antiqua" w:eastAsia="Book Antiqua" w:hAnsi="Book Antiqua" w:cs="Book Antiqua"/>
          <w:color w:val="000000" w:themeColor="text1"/>
        </w:rPr>
      </w:pPr>
    </w:p>
    <w:p w14:paraId="763B8DAF" w14:textId="717E7716" w:rsidR="00C472D6" w:rsidRDefault="00830A9A">
      <w:pPr>
        <w:spacing w:before="140" w:after="40"/>
        <w:rPr>
          <w:rFonts w:ascii="Book Antiqua" w:eastAsia="Book Antiqua" w:hAnsi="Book Antiqua" w:cs="Book Antiqua"/>
          <w:color w:val="000000" w:themeColor="text1"/>
        </w:rPr>
      </w:pPr>
      <w:r>
        <w:rPr>
          <w:rFonts w:ascii="Book Antiqua" w:eastAsia="Book Antiqua" w:hAnsi="Book Antiqua" w:cs="Book Antiqua"/>
          <w:color w:val="000000" w:themeColor="text1"/>
        </w:rPr>
        <w:t xml:space="preserve">TSH : T4 </w:t>
      </w:r>
      <w:r w:rsidR="007E1500">
        <w:rPr>
          <w:rFonts w:ascii="Book Antiqua" w:eastAsia="Book Antiqua" w:hAnsi="Book Antiqua" w:cs="Book Antiqua"/>
          <w:color w:val="000000" w:themeColor="text1"/>
        </w:rPr>
        <w:t>ça ne sert à rien</w:t>
      </w:r>
      <w:r>
        <w:rPr>
          <w:rFonts w:ascii="Book Antiqua" w:eastAsia="Book Antiqua" w:hAnsi="Book Antiqua" w:cs="Book Antiqua"/>
          <w:color w:val="000000" w:themeColor="text1"/>
        </w:rPr>
        <w:t xml:space="preserve">, </w:t>
      </w:r>
      <w:r w:rsidR="00D77300">
        <w:rPr>
          <w:rFonts w:ascii="Book Antiqua" w:eastAsia="Book Antiqua" w:hAnsi="Book Antiqua" w:cs="Book Antiqua"/>
          <w:color w:val="000000" w:themeColor="text1"/>
        </w:rPr>
        <w:t xml:space="preserve">parce que ce n’est pas elle qui </w:t>
      </w:r>
      <w:r w:rsidR="003460EF">
        <w:rPr>
          <w:rFonts w:ascii="Book Antiqua" w:eastAsia="Book Antiqua" w:hAnsi="Book Antiqua" w:cs="Book Antiqua"/>
          <w:color w:val="000000" w:themeColor="text1"/>
        </w:rPr>
        <w:t xml:space="preserve">va nous dire si elle </w:t>
      </w:r>
      <w:r w:rsidR="00D77300">
        <w:rPr>
          <w:rFonts w:ascii="Book Antiqua" w:eastAsia="Book Antiqua" w:hAnsi="Book Antiqua" w:cs="Book Antiqua"/>
          <w:color w:val="000000" w:themeColor="text1"/>
        </w:rPr>
        <w:t>se transforme en T3</w:t>
      </w:r>
      <w:r w:rsidR="003460EF">
        <w:rPr>
          <w:rFonts w:ascii="Book Antiqua" w:eastAsia="Book Antiqua" w:hAnsi="Book Antiqua" w:cs="Book Antiqua"/>
          <w:color w:val="000000" w:themeColor="text1"/>
        </w:rPr>
        <w:t xml:space="preserve"> ou pas.</w:t>
      </w:r>
    </w:p>
    <w:p w14:paraId="55ED04EC" w14:textId="67F6361C" w:rsidR="006F07BA" w:rsidRPr="00BF7FC0" w:rsidRDefault="006F07BA">
      <w:pPr>
        <w:spacing w:before="140" w:after="40"/>
        <w:rPr>
          <w:rFonts w:ascii="Book Antiqua" w:eastAsia="Book Antiqua" w:hAnsi="Book Antiqua" w:cs="Book Antiqua"/>
          <w:color w:val="000000" w:themeColor="text1"/>
        </w:rPr>
      </w:pPr>
    </w:p>
    <w:p w14:paraId="26E15B22" w14:textId="7C4773AC" w:rsidR="00A67868" w:rsidRDefault="00C246F5">
      <w:pPr>
        <w:spacing w:before="140" w:after="40"/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</w:pPr>
      <w:r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>Hyperthyroïdie</w:t>
      </w:r>
      <w:r w:rsidR="00A31CD1"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 xml:space="preserve"> (une pathologie due à une sécrétion d’hormones thyroïdienne T3 et T4 produite par la glande thyroïde.</w:t>
      </w:r>
      <w:r w:rsidR="009010CB"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 xml:space="preserve">) </w:t>
      </w:r>
    </w:p>
    <w:p w14:paraId="3844B331" w14:textId="4C84DE28" w:rsidR="00C71B2A" w:rsidRDefault="007E1500">
      <w:pPr>
        <w:spacing w:before="140" w:after="40"/>
        <w:rPr>
          <w:rFonts w:ascii="Book Antiqua" w:eastAsia="Book Antiqua" w:hAnsi="Book Antiqua" w:cs="Book Antiqua"/>
          <w:color w:val="000000" w:themeColor="text1"/>
          <w:sz w:val="22"/>
          <w:szCs w:val="22"/>
        </w:rPr>
      </w:pPr>
      <w:r>
        <w:rPr>
          <w:rFonts w:ascii="Book Antiqua" w:eastAsia="Book Antiqua" w:hAnsi="Book Antiqua" w:cs="Book Antiqua"/>
          <w:color w:val="000000" w:themeColor="text1"/>
          <w:sz w:val="22"/>
          <w:szCs w:val="22"/>
        </w:rPr>
        <w:t>Touche 5 à 20 personnes sur 1000 selon les pays.</w:t>
      </w:r>
    </w:p>
    <w:p w14:paraId="0BD14D76" w14:textId="37C134C4" w:rsidR="007E1500" w:rsidRDefault="007E1500">
      <w:pPr>
        <w:spacing w:before="140" w:after="40"/>
        <w:rPr>
          <w:rFonts w:ascii="Book Antiqua" w:eastAsia="Book Antiqua" w:hAnsi="Book Antiqua" w:cs="Book Antiqua"/>
          <w:color w:val="000000" w:themeColor="text1"/>
          <w:sz w:val="22"/>
          <w:szCs w:val="22"/>
        </w:rPr>
      </w:pPr>
      <w:r>
        <w:rPr>
          <w:rFonts w:ascii="Book Antiqua" w:eastAsia="Book Antiqua" w:hAnsi="Book Antiqua" w:cs="Book Antiqua"/>
          <w:color w:val="000000" w:themeColor="text1"/>
          <w:sz w:val="22"/>
          <w:szCs w:val="22"/>
        </w:rPr>
        <w:t>Touch</w:t>
      </w:r>
      <w:r w:rsidR="004A24E5">
        <w:rPr>
          <w:rFonts w:ascii="Book Antiqua" w:eastAsia="Book Antiqua" w:hAnsi="Book Antiqua" w:cs="Book Antiqua"/>
          <w:color w:val="000000" w:themeColor="text1"/>
          <w:sz w:val="22"/>
          <w:szCs w:val="22"/>
        </w:rPr>
        <w:t>e</w:t>
      </w:r>
      <w:r>
        <w:rPr>
          <w:rFonts w:ascii="Book Antiqua" w:eastAsia="Book Antiqua" w:hAnsi="Book Antiqua" w:cs="Book Antiqua"/>
          <w:color w:val="000000" w:themeColor="text1"/>
          <w:sz w:val="22"/>
          <w:szCs w:val="22"/>
        </w:rPr>
        <w:t xml:space="preserve"> plus la femme que les hommes.</w:t>
      </w:r>
    </w:p>
    <w:p w14:paraId="72E5ACB1" w14:textId="4A3EC518" w:rsidR="004A24E5" w:rsidRDefault="004A24E5">
      <w:pPr>
        <w:spacing w:before="140" w:after="40"/>
        <w:rPr>
          <w:rFonts w:ascii="Book Antiqua" w:eastAsia="Book Antiqua" w:hAnsi="Book Antiqua" w:cs="Book Antiqua"/>
          <w:color w:val="000000" w:themeColor="text1"/>
          <w:sz w:val="22"/>
          <w:szCs w:val="22"/>
        </w:rPr>
      </w:pPr>
      <w:r>
        <w:rPr>
          <w:rFonts w:ascii="Book Antiqua" w:eastAsia="Book Antiqua" w:hAnsi="Book Antiqua" w:cs="Book Antiqua"/>
          <w:color w:val="000000" w:themeColor="text1"/>
          <w:sz w:val="22"/>
          <w:szCs w:val="22"/>
        </w:rPr>
        <w:t xml:space="preserve">On peut passer de l’hyper à </w:t>
      </w:r>
      <w:proofErr w:type="spellStart"/>
      <w:r>
        <w:rPr>
          <w:rFonts w:ascii="Book Antiqua" w:eastAsia="Book Antiqua" w:hAnsi="Book Antiqua" w:cs="Book Antiqua"/>
          <w:color w:val="000000" w:themeColor="text1"/>
          <w:sz w:val="22"/>
          <w:szCs w:val="22"/>
        </w:rPr>
        <w:t>l’hypo</w:t>
      </w:r>
      <w:proofErr w:type="spellEnd"/>
      <w:r>
        <w:rPr>
          <w:rFonts w:ascii="Book Antiqua" w:eastAsia="Book Antiqua" w:hAnsi="Book Antiqua" w:cs="Book Antiqua"/>
          <w:color w:val="000000" w:themeColor="text1"/>
          <w:sz w:val="22"/>
          <w:szCs w:val="22"/>
        </w:rPr>
        <w:t xml:space="preserve"> c’est assez fréquent.</w:t>
      </w:r>
    </w:p>
    <w:p w14:paraId="08C1A543" w14:textId="77777777" w:rsidR="008F18FD" w:rsidRPr="007E1500" w:rsidRDefault="008F18FD">
      <w:pPr>
        <w:spacing w:before="140" w:after="40"/>
        <w:rPr>
          <w:color w:val="000000" w:themeColor="text1"/>
          <w:sz w:val="22"/>
          <w:szCs w:val="22"/>
        </w:rPr>
      </w:pPr>
    </w:p>
    <w:p w14:paraId="2E71DD87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Clinique : </w:t>
      </w:r>
      <w:r>
        <w:rPr>
          <w:rFonts w:ascii="Book Antiqua" w:eastAsia="Book Antiqua" w:hAnsi="Book Antiqua" w:cs="Book Antiqua"/>
          <w:sz w:val="22"/>
          <w:szCs w:val="22"/>
        </w:rPr>
        <w:t>TSH &lt; 0,1 mU/l + T3/T4 élevées + signes (amaigrissement, tachycardie, nervosité…)</w:t>
      </w:r>
    </w:p>
    <w:p w14:paraId="614C4408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Infraclinique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(frustre) : </w:t>
      </w:r>
      <w:r>
        <w:rPr>
          <w:rFonts w:ascii="Book Antiqua" w:eastAsia="Book Antiqua" w:hAnsi="Book Antiqua" w:cs="Book Antiqua"/>
          <w:sz w:val="22"/>
          <w:szCs w:val="22"/>
        </w:rPr>
        <w:t>TSH 0,1–0,8 mU/l + T3/T4 normales + peu de signes</w:t>
      </w:r>
    </w:p>
    <w:p w14:paraId="45DAC564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Thyroïdite de </w:t>
      </w: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Quervain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: </w:t>
      </w:r>
      <w:r>
        <w:rPr>
          <w:rFonts w:ascii="Book Antiqua" w:eastAsia="Book Antiqua" w:hAnsi="Book Antiqua" w:cs="Book Antiqua"/>
          <w:sz w:val="22"/>
          <w:szCs w:val="22"/>
        </w:rPr>
        <w:t xml:space="preserve">Post-virale ORL — douleur cervicale, léger goitre asymétrique, syndrome grippal — phase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hypo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dans ¾ des cas — TT : AINS, corticoïdes</w:t>
      </w:r>
    </w:p>
    <w:p w14:paraId="74D3690A" w14:textId="0F603862" w:rsidR="00A67868" w:rsidRPr="00B02B61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lastRenderedPageBreak/>
        <w:t xml:space="preserve">Post-partum : </w:t>
      </w:r>
      <w:r>
        <w:rPr>
          <w:rFonts w:ascii="Book Antiqua" w:eastAsia="Book Antiqua" w:hAnsi="Book Antiqua" w:cs="Book Antiqua"/>
          <w:sz w:val="22"/>
          <w:szCs w:val="22"/>
        </w:rPr>
        <w:t xml:space="preserve">6 % des grossesses — phase hyper vers 2 mois puis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hypo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vers 3–6 mois — transitoire (&lt; 1 an), récidive 40 %, définitive 20 %</w:t>
      </w:r>
    </w:p>
    <w:p w14:paraId="7ED67E64" w14:textId="346F7ADE" w:rsidR="00B02B61" w:rsidRPr="00C65F4C" w:rsidRDefault="002C5A37">
      <w:pPr>
        <w:pStyle w:val="Paragraphedeliste"/>
        <w:numPr>
          <w:ilvl w:val="0"/>
          <w:numId w:val="2"/>
        </w:numPr>
        <w:spacing w:before="20" w:after="20"/>
        <w:rPr>
          <w:sz w:val="24"/>
          <w:szCs w:val="24"/>
        </w:rPr>
      </w:pPr>
      <w:r w:rsidRPr="00C65F4C">
        <w:rPr>
          <w:rFonts w:ascii="Book Antiqua" w:eastAsia="Book Antiqua" w:hAnsi="Book Antiqua" w:cs="Book Antiqua"/>
          <w:b/>
          <w:bCs/>
          <w:color w:val="E8967A"/>
          <w:sz w:val="24"/>
          <w:szCs w:val="24"/>
        </w:rPr>
        <w:t>Complication :</w:t>
      </w:r>
      <w:r w:rsidRPr="00C65F4C">
        <w:rPr>
          <w:sz w:val="24"/>
          <w:szCs w:val="24"/>
        </w:rPr>
        <w:t xml:space="preserve"> Pour la mère pré éclampsie, </w:t>
      </w:r>
      <w:r w:rsidR="00C65F4C" w:rsidRPr="00C65F4C">
        <w:rPr>
          <w:sz w:val="24"/>
          <w:szCs w:val="24"/>
        </w:rPr>
        <w:t>avortement</w:t>
      </w:r>
      <w:r w:rsidRPr="00C65F4C">
        <w:rPr>
          <w:sz w:val="24"/>
          <w:szCs w:val="24"/>
        </w:rPr>
        <w:t xml:space="preserve"> prématuré, hémorragie du post-partum</w:t>
      </w:r>
      <w:r w:rsidR="00C65F4C">
        <w:rPr>
          <w:sz w:val="24"/>
          <w:szCs w:val="24"/>
        </w:rPr>
        <w:t>.</w:t>
      </w:r>
    </w:p>
    <w:p w14:paraId="5B71871D" w14:textId="49352B0D" w:rsidR="00C65F4C" w:rsidRPr="00140B58" w:rsidRDefault="00C65F4C" w:rsidP="00C65F4C">
      <w:pPr>
        <w:pStyle w:val="Paragraphedeliste"/>
        <w:spacing w:before="20" w:after="20"/>
        <w:ind w:left="600"/>
      </w:pPr>
    </w:p>
    <w:p w14:paraId="6001B8A9" w14:textId="4DC28EBA" w:rsidR="00140B58" w:rsidRDefault="00140B58" w:rsidP="00140B58">
      <w:pPr>
        <w:pStyle w:val="Paragraphedeliste"/>
        <w:spacing w:before="20" w:after="20"/>
        <w:ind w:left="60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BEA5421" wp14:editId="27AA58AC">
            <wp:simplePos x="0" y="0"/>
            <wp:positionH relativeFrom="column">
              <wp:posOffset>0</wp:posOffset>
            </wp:positionH>
            <wp:positionV relativeFrom="paragraph">
              <wp:posOffset>156210</wp:posOffset>
            </wp:positionV>
            <wp:extent cx="5760720" cy="3180080"/>
            <wp:effectExtent l="0" t="0" r="5080" b="0"/>
            <wp:wrapTopAndBottom/>
            <wp:docPr id="5914623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62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18B0F" w14:textId="77777777" w:rsidR="00A67868" w:rsidRDefault="00C246F5">
      <w:pPr>
        <w:spacing w:before="140" w:after="40"/>
      </w:pPr>
      <w:r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>Thyroïdite de Hashimoto (auto-immune)</w:t>
      </w:r>
    </w:p>
    <w:p w14:paraId="37F0A3FA" w14:textId="71C4B3CC" w:rsidR="00A67868" w:rsidRPr="002A1628" w:rsidRDefault="00B85B99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sz w:val="22"/>
          <w:szCs w:val="22"/>
        </w:rPr>
        <w:t>Affection plus</w:t>
      </w:r>
      <w:r w:rsidR="00C246F5">
        <w:rPr>
          <w:rFonts w:ascii="Book Antiqua" w:eastAsia="Book Antiqua" w:hAnsi="Book Antiqua" w:cs="Book Antiqua"/>
          <w:sz w:val="22"/>
          <w:szCs w:val="22"/>
        </w:rPr>
        <w:t xml:space="preserve"> fréquente : 15 % de la population — 3× plus chez la femme</w:t>
      </w:r>
    </w:p>
    <w:p w14:paraId="506C4690" w14:textId="07A7D8F4" w:rsidR="002A1628" w:rsidRDefault="00EC26AC">
      <w:pPr>
        <w:pStyle w:val="Paragraphedeliste"/>
        <w:numPr>
          <w:ilvl w:val="0"/>
          <w:numId w:val="2"/>
        </w:numPr>
        <w:spacing w:before="20" w:after="20"/>
      </w:pPr>
      <w:proofErr w:type="spellStart"/>
      <w:r>
        <w:rPr>
          <w:rFonts w:ascii="Book Antiqua" w:eastAsia="Book Antiqua" w:hAnsi="Book Antiqua" w:cs="Book Antiqua"/>
          <w:sz w:val="22"/>
          <w:szCs w:val="22"/>
        </w:rPr>
        <w:t>Dysrégulation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du système immunitaire. </w:t>
      </w:r>
      <w:r w:rsidR="0071652D">
        <w:rPr>
          <w:rFonts w:ascii="Book Antiqua" w:eastAsia="Book Antiqua" w:hAnsi="Book Antiqua" w:cs="Book Antiqua"/>
          <w:sz w:val="22"/>
          <w:szCs w:val="22"/>
        </w:rPr>
        <w:t xml:space="preserve">Une attaque par le système immunitaire des </w:t>
      </w:r>
      <w:r w:rsidR="003D76B3">
        <w:rPr>
          <w:rFonts w:ascii="Book Antiqua" w:eastAsia="Book Antiqua" w:hAnsi="Book Antiqua" w:cs="Book Antiqua"/>
          <w:sz w:val="22"/>
          <w:szCs w:val="22"/>
        </w:rPr>
        <w:t>anti-corps</w:t>
      </w:r>
      <w:r w:rsidR="0071652D">
        <w:rPr>
          <w:rFonts w:ascii="Book Antiqua" w:eastAsia="Book Antiqua" w:hAnsi="Book Antiqua" w:cs="Book Antiqua"/>
          <w:sz w:val="22"/>
          <w:szCs w:val="22"/>
        </w:rPr>
        <w:t xml:space="preserve"> </w:t>
      </w:r>
      <w:r w:rsidR="003D76B3">
        <w:rPr>
          <w:rFonts w:ascii="Book Antiqua" w:eastAsia="Book Antiqua" w:hAnsi="Book Antiqua" w:cs="Book Antiqua"/>
          <w:sz w:val="22"/>
          <w:szCs w:val="22"/>
        </w:rPr>
        <w:t>(</w:t>
      </w:r>
      <w:proofErr w:type="spellStart"/>
      <w:r w:rsidR="003D76B3">
        <w:rPr>
          <w:rFonts w:ascii="Book Antiqua" w:eastAsia="Book Antiqua" w:hAnsi="Book Antiqua" w:cs="Book Antiqua"/>
          <w:sz w:val="22"/>
          <w:szCs w:val="22"/>
        </w:rPr>
        <w:t>anti-péroxydase</w:t>
      </w:r>
      <w:proofErr w:type="spellEnd"/>
      <w:r w:rsidR="003D76B3">
        <w:rPr>
          <w:rFonts w:ascii="Book Antiqua" w:eastAsia="Book Antiqua" w:hAnsi="Book Antiqua" w:cs="Book Antiqua"/>
          <w:sz w:val="22"/>
          <w:szCs w:val="22"/>
        </w:rPr>
        <w:t xml:space="preserve">) </w:t>
      </w:r>
      <w:r w:rsidR="004A28F5">
        <w:rPr>
          <w:rFonts w:ascii="Book Antiqua" w:eastAsia="Book Antiqua" w:hAnsi="Book Antiqua" w:cs="Book Antiqua"/>
          <w:sz w:val="22"/>
          <w:szCs w:val="22"/>
        </w:rPr>
        <w:t>cont</w:t>
      </w:r>
      <w:r w:rsidR="001A39AF">
        <w:rPr>
          <w:rFonts w:ascii="Book Antiqua" w:eastAsia="Book Antiqua" w:hAnsi="Book Antiqua" w:cs="Book Antiqua"/>
          <w:sz w:val="22"/>
          <w:szCs w:val="22"/>
        </w:rPr>
        <w:t xml:space="preserve">re la TSH elle-même (une </w:t>
      </w:r>
      <w:r w:rsidR="000510A7">
        <w:rPr>
          <w:rFonts w:ascii="Book Antiqua" w:eastAsia="Book Antiqua" w:hAnsi="Book Antiqua" w:cs="Book Antiqua"/>
          <w:sz w:val="22"/>
          <w:szCs w:val="22"/>
        </w:rPr>
        <w:t>des composantes</w:t>
      </w:r>
      <w:r w:rsidR="001A39AF">
        <w:rPr>
          <w:rFonts w:ascii="Book Antiqua" w:eastAsia="Book Antiqua" w:hAnsi="Book Antiqua" w:cs="Book Antiqua"/>
          <w:sz w:val="22"/>
          <w:szCs w:val="22"/>
        </w:rPr>
        <w:t xml:space="preserve"> qui permet la fabriquer de la T</w:t>
      </w:r>
      <w:r w:rsidR="000510A7">
        <w:rPr>
          <w:rFonts w:ascii="Book Antiqua" w:eastAsia="Book Antiqua" w:hAnsi="Book Antiqua" w:cs="Book Antiqua"/>
          <w:sz w:val="22"/>
          <w:szCs w:val="22"/>
        </w:rPr>
        <w:t>3</w:t>
      </w:r>
      <w:r w:rsidR="001A39AF">
        <w:rPr>
          <w:rFonts w:ascii="Book Antiqua" w:eastAsia="Book Antiqua" w:hAnsi="Book Antiqua" w:cs="Book Antiqua"/>
          <w:sz w:val="22"/>
          <w:szCs w:val="22"/>
        </w:rPr>
        <w:t xml:space="preserve"> et T4) et</w:t>
      </w:r>
      <w:r w:rsidR="000510A7">
        <w:rPr>
          <w:rFonts w:ascii="Book Antiqua" w:eastAsia="Book Antiqua" w:hAnsi="Book Antiqua" w:cs="Book Antiqua"/>
          <w:sz w:val="22"/>
          <w:szCs w:val="22"/>
        </w:rPr>
        <w:t xml:space="preserve"> des anti-corps</w:t>
      </w:r>
      <w:r w:rsidR="003D76B3">
        <w:rPr>
          <w:rFonts w:ascii="Book Antiqua" w:eastAsia="Book Antiqua" w:hAnsi="Book Antiqua" w:cs="Book Antiqua"/>
          <w:sz w:val="22"/>
          <w:szCs w:val="22"/>
        </w:rPr>
        <w:t xml:space="preserve"> </w:t>
      </w:r>
      <w:r w:rsidR="000510A7">
        <w:rPr>
          <w:rFonts w:ascii="Book Antiqua" w:eastAsia="Book Antiqua" w:hAnsi="Book Antiqua" w:cs="Book Antiqua"/>
          <w:sz w:val="22"/>
          <w:szCs w:val="22"/>
        </w:rPr>
        <w:t>(</w:t>
      </w:r>
      <w:r w:rsidR="00132501">
        <w:rPr>
          <w:rFonts w:ascii="Book Antiqua" w:eastAsia="Book Antiqua" w:hAnsi="Book Antiqua" w:cs="Book Antiqua"/>
          <w:sz w:val="22"/>
          <w:szCs w:val="22"/>
        </w:rPr>
        <w:t>anti-récepteur</w:t>
      </w:r>
      <w:r w:rsidR="000510A7">
        <w:rPr>
          <w:rFonts w:ascii="Book Antiqua" w:eastAsia="Book Antiqua" w:hAnsi="Book Antiqua" w:cs="Book Antiqua"/>
          <w:sz w:val="22"/>
          <w:szCs w:val="22"/>
        </w:rPr>
        <w:t>)</w:t>
      </w:r>
      <w:r w:rsidR="003D76B3">
        <w:rPr>
          <w:rFonts w:ascii="Book Antiqua" w:eastAsia="Book Antiqua" w:hAnsi="Book Antiqua" w:cs="Book Antiqua"/>
          <w:sz w:val="22"/>
          <w:szCs w:val="22"/>
        </w:rPr>
        <w:t xml:space="preserve">. </w:t>
      </w:r>
    </w:p>
    <w:p w14:paraId="25CF8C75" w14:textId="6E633D31" w:rsidR="00A67868" w:rsidRPr="00BA4EBF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sz w:val="22"/>
          <w:szCs w:val="22"/>
        </w:rPr>
        <w:t>Prédisposition génétique HLA B8DR3 — âge typique 30–60 ans</w:t>
      </w:r>
    </w:p>
    <w:p w14:paraId="59F07B5D" w14:textId="54FA41AF" w:rsidR="00BA4EBF" w:rsidRPr="00A35FF4" w:rsidRDefault="00BA4EBF" w:rsidP="00132501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sz w:val="22"/>
          <w:szCs w:val="22"/>
        </w:rPr>
        <w:t xml:space="preserve">Étiologie : Infection virale, stress, Iode, irradiation, Tabagisme, Hormones </w:t>
      </w:r>
      <w:proofErr w:type="spellStart"/>
      <w:r w:rsidR="00132501">
        <w:rPr>
          <w:rFonts w:ascii="Book Antiqua" w:eastAsia="Book Antiqua" w:hAnsi="Book Antiqua" w:cs="Book Antiqua"/>
          <w:sz w:val="22"/>
          <w:szCs w:val="22"/>
        </w:rPr>
        <w:t>stéroidienne</w:t>
      </w:r>
      <w:proofErr w:type="spellEnd"/>
      <w:r w:rsidR="00132501">
        <w:rPr>
          <w:rFonts w:ascii="Book Antiqua" w:eastAsia="Book Antiqua" w:hAnsi="Book Antiqua" w:cs="Book Antiqua"/>
          <w:sz w:val="22"/>
          <w:szCs w:val="22"/>
        </w:rPr>
        <w:t xml:space="preserve"> féminines (puberté), </w:t>
      </w:r>
      <w:proofErr w:type="spellStart"/>
      <w:r w:rsidR="00132501">
        <w:rPr>
          <w:rFonts w:ascii="Book Antiqua" w:eastAsia="Book Antiqua" w:hAnsi="Book Antiqua" w:cs="Book Antiqua"/>
          <w:sz w:val="22"/>
          <w:szCs w:val="22"/>
        </w:rPr>
        <w:t>immunomodulateurs</w:t>
      </w:r>
      <w:proofErr w:type="spellEnd"/>
      <w:r w:rsidR="002423BF">
        <w:rPr>
          <w:rFonts w:ascii="Book Antiqua" w:eastAsia="Book Antiqua" w:hAnsi="Book Antiqua" w:cs="Book Antiqua"/>
          <w:sz w:val="22"/>
          <w:szCs w:val="22"/>
        </w:rPr>
        <w:t xml:space="preserve"> (</w:t>
      </w:r>
      <w:proofErr w:type="spellStart"/>
      <w:r w:rsidR="002423BF">
        <w:rPr>
          <w:rFonts w:ascii="Book Antiqua" w:eastAsia="Book Antiqua" w:hAnsi="Book Antiqua" w:cs="Book Antiqua"/>
          <w:sz w:val="22"/>
          <w:szCs w:val="22"/>
        </w:rPr>
        <w:t>intéferon</w:t>
      </w:r>
      <w:proofErr w:type="spellEnd"/>
      <w:r w:rsidR="002423BF">
        <w:rPr>
          <w:rFonts w:ascii="Book Antiqua" w:eastAsia="Book Antiqua" w:hAnsi="Book Antiqua" w:cs="Book Antiqua"/>
          <w:sz w:val="22"/>
          <w:szCs w:val="22"/>
        </w:rPr>
        <w:t xml:space="preserve"> alpha</w:t>
      </w:r>
      <w:r w:rsidR="00132501">
        <w:rPr>
          <w:rFonts w:ascii="Book Antiqua" w:eastAsia="Book Antiqua" w:hAnsi="Book Antiqua" w:cs="Book Antiqua"/>
          <w:sz w:val="22"/>
          <w:szCs w:val="22"/>
        </w:rPr>
        <w:t>).</w:t>
      </w:r>
    </w:p>
    <w:p w14:paraId="2DEE14A1" w14:textId="1BF30F17" w:rsidR="00A35FF4" w:rsidRPr="00E8775A" w:rsidRDefault="00A35FF4" w:rsidP="00132501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sz w:val="22"/>
          <w:szCs w:val="22"/>
        </w:rPr>
        <w:t>La Thyroïde a des anti-gènes thyroïdiens</w:t>
      </w:r>
      <w:r w:rsidR="00C81542">
        <w:rPr>
          <w:rFonts w:ascii="Book Antiqua" w:eastAsia="Book Antiqua" w:hAnsi="Book Antiqua" w:cs="Book Antiqua"/>
          <w:sz w:val="22"/>
          <w:szCs w:val="22"/>
        </w:rPr>
        <w:t> : TPO, Tg, récepteur de la TSH (RTSH)</w:t>
      </w:r>
      <w:r w:rsidR="00BF30FC">
        <w:rPr>
          <w:rFonts w:ascii="Book Antiqua" w:eastAsia="Book Antiqua" w:hAnsi="Book Antiqua" w:cs="Book Antiqua"/>
          <w:sz w:val="22"/>
          <w:szCs w:val="22"/>
        </w:rPr>
        <w:t xml:space="preserve">, </w:t>
      </w:r>
      <w:proofErr w:type="spellStart"/>
      <w:r w:rsidR="00BF30FC">
        <w:rPr>
          <w:rFonts w:ascii="Book Antiqua" w:eastAsia="Book Antiqua" w:hAnsi="Book Antiqua" w:cs="Book Antiqua"/>
          <w:sz w:val="22"/>
          <w:szCs w:val="22"/>
        </w:rPr>
        <w:t>symporteur</w:t>
      </w:r>
      <w:proofErr w:type="spellEnd"/>
      <w:r w:rsidR="00BF30FC">
        <w:rPr>
          <w:rFonts w:ascii="Book Antiqua" w:eastAsia="Book Antiqua" w:hAnsi="Book Antiqua" w:cs="Book Antiqua"/>
          <w:sz w:val="22"/>
          <w:szCs w:val="22"/>
        </w:rPr>
        <w:t xml:space="preserve"> sodium-iodure NIS, la </w:t>
      </w:r>
      <w:proofErr w:type="spellStart"/>
      <w:r w:rsidR="00BF30FC">
        <w:rPr>
          <w:rFonts w:ascii="Book Antiqua" w:eastAsia="Book Antiqua" w:hAnsi="Book Antiqua" w:cs="Book Antiqua"/>
          <w:sz w:val="22"/>
          <w:szCs w:val="22"/>
        </w:rPr>
        <w:t>prendrine</w:t>
      </w:r>
      <w:proofErr w:type="spellEnd"/>
      <w:r w:rsidR="00BF30FC">
        <w:rPr>
          <w:rFonts w:ascii="Book Antiqua" w:eastAsia="Book Antiqua" w:hAnsi="Book Antiqua" w:cs="Book Antiqua"/>
          <w:sz w:val="22"/>
          <w:szCs w:val="22"/>
        </w:rPr>
        <w:t xml:space="preserve">. </w:t>
      </w:r>
    </w:p>
    <w:p w14:paraId="2071E54C" w14:textId="5696A139" w:rsidR="00E8775A" w:rsidRDefault="00822B69" w:rsidP="00132501">
      <w:pPr>
        <w:pStyle w:val="Paragraphedeliste"/>
        <w:numPr>
          <w:ilvl w:val="0"/>
          <w:numId w:val="2"/>
        </w:numPr>
        <w:spacing w:before="20" w:after="2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A75EA78" wp14:editId="6D7F8F77">
            <wp:simplePos x="0" y="0"/>
            <wp:positionH relativeFrom="column">
              <wp:posOffset>1720587</wp:posOffset>
            </wp:positionH>
            <wp:positionV relativeFrom="paragraph">
              <wp:posOffset>261620</wp:posOffset>
            </wp:positionV>
            <wp:extent cx="2887980" cy="2418080"/>
            <wp:effectExtent l="0" t="0" r="0" b="0"/>
            <wp:wrapTopAndBottom/>
            <wp:docPr id="11899042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04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4C27CB" w14:textId="1C1B4A08" w:rsidR="00A67868" w:rsidRDefault="00DA265F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sz w:val="22"/>
          <w:szCs w:val="22"/>
        </w:rPr>
        <w:lastRenderedPageBreak/>
        <w:t>Anti-corps</w:t>
      </w:r>
      <w:r w:rsidR="00C246F5">
        <w:rPr>
          <w:rFonts w:ascii="Book Antiqua" w:eastAsia="Book Antiqua" w:hAnsi="Book Antiqua" w:cs="Book Antiqua"/>
          <w:sz w:val="22"/>
          <w:szCs w:val="22"/>
        </w:rPr>
        <w:t xml:space="preserve"> anti-TPO (90 %)</w:t>
      </w:r>
      <w:r w:rsidR="00B548F8">
        <w:rPr>
          <w:rFonts w:ascii="Book Antiqua" w:eastAsia="Book Antiqua" w:hAnsi="Book Antiqua" w:cs="Book Antiqua"/>
          <w:sz w:val="22"/>
          <w:szCs w:val="22"/>
        </w:rPr>
        <w:t xml:space="preserve"> &lt; 34kUI/L</w:t>
      </w:r>
      <w:r w:rsidR="00C246F5">
        <w:rPr>
          <w:rFonts w:ascii="Book Antiqua" w:eastAsia="Book Antiqua" w:hAnsi="Book Antiqua" w:cs="Book Antiqua"/>
          <w:sz w:val="22"/>
          <w:szCs w:val="22"/>
        </w:rPr>
        <w:t xml:space="preserve"> + Ac anti-Tg (20–50 %)</w:t>
      </w:r>
      <w:r w:rsidR="00CA5543">
        <w:rPr>
          <w:rFonts w:ascii="Book Antiqua" w:eastAsia="Book Antiqua" w:hAnsi="Book Antiqua" w:cs="Book Antiqua"/>
          <w:sz w:val="22"/>
          <w:szCs w:val="22"/>
        </w:rPr>
        <w:t xml:space="preserve"> &lt; 115</w:t>
      </w:r>
      <w:r w:rsidR="00B548F8">
        <w:rPr>
          <w:rFonts w:ascii="Book Antiqua" w:eastAsia="Book Antiqua" w:hAnsi="Book Antiqua" w:cs="Book Antiqua"/>
          <w:sz w:val="22"/>
          <w:szCs w:val="22"/>
        </w:rPr>
        <w:t xml:space="preserve"> kIU/L </w:t>
      </w:r>
      <w:r>
        <w:rPr>
          <w:rFonts w:ascii="Book Antiqua" w:eastAsia="Book Antiqua" w:hAnsi="Book Antiqua" w:cs="Book Antiqua"/>
          <w:sz w:val="22"/>
          <w:szCs w:val="22"/>
        </w:rPr>
        <w:t>TRAK OU TRAC.</w:t>
      </w:r>
    </w:p>
    <w:p w14:paraId="529F4E91" w14:textId="051F38CF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sz w:val="22"/>
          <w:szCs w:val="22"/>
        </w:rPr>
        <w:t xml:space="preserve">Mécanisme : destruction lymphocytaire des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thyréocytes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→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Hashitoxicose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transitoire → hypothyroïdie progressive</w:t>
      </w:r>
    </w:p>
    <w:p w14:paraId="4495F6E1" w14:textId="3A542CD5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sz w:val="22"/>
          <w:szCs w:val="22"/>
        </w:rPr>
        <w:t xml:space="preserve">90 % des patients présentent une « fatigue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surrénalienne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»</w:t>
      </w:r>
    </w:p>
    <w:p w14:paraId="482CE649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sz w:val="22"/>
          <w:szCs w:val="22"/>
        </w:rPr>
        <w:t xml:space="preserve">Co-pathologies à rechercher :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Biermer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>, lupus, PR, insuffisance surrénale, SOPK</w:t>
      </w:r>
    </w:p>
    <w:p w14:paraId="7D8B6278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Facteurs aggravants : </w:t>
      </w:r>
      <w:r>
        <w:rPr>
          <w:rFonts w:ascii="Book Antiqua" w:eastAsia="Book Antiqua" w:hAnsi="Book Antiqua" w:cs="Book Antiqua"/>
          <w:sz w:val="22"/>
          <w:szCs w:val="22"/>
        </w:rPr>
        <w:t xml:space="preserve">stress chronique, carence vit D,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insulino-résistance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, inflammation bas grade, intolérance gluten (80 %),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dysbiose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>/candidose (50 %)</w:t>
      </w:r>
    </w:p>
    <w:p w14:paraId="674DA1A2" w14:textId="77777777" w:rsidR="00A67868" w:rsidRDefault="00C246F5">
      <w:pPr>
        <w:spacing w:before="140" w:after="40"/>
      </w:pPr>
      <w:r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 xml:space="preserve">Maladie de </w:t>
      </w:r>
      <w:proofErr w:type="spellStart"/>
      <w:r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>Basedow</w:t>
      </w:r>
      <w:proofErr w:type="spellEnd"/>
      <w:r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 xml:space="preserve"> (thyroïdite auto-immune — hyperthyroïdie)</w:t>
      </w:r>
    </w:p>
    <w:p w14:paraId="283EB06D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sz w:val="22"/>
          <w:szCs w:val="22"/>
        </w:rPr>
        <w:t>Ac anti-récepteur TSH (TRAK) stimulants → T3/T4 élevées sans frein possible</w:t>
      </w:r>
    </w:p>
    <w:p w14:paraId="080300A5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sz w:val="22"/>
          <w:szCs w:val="22"/>
        </w:rPr>
        <w:t>10 femmes pour 1 homme — déclencheurs : stress, infection</w:t>
      </w:r>
    </w:p>
    <w:p w14:paraId="763C7282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proofErr w:type="spellStart"/>
      <w:r>
        <w:rPr>
          <w:rFonts w:ascii="Book Antiqua" w:eastAsia="Book Antiqua" w:hAnsi="Book Antiqua" w:cs="Book Antiqua"/>
          <w:sz w:val="22"/>
          <w:szCs w:val="22"/>
        </w:rPr>
        <w:t>Orbitopathie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basedowienne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(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exophtalmie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>) par atteinte des tissus rétro-orbitaires</w:t>
      </w:r>
    </w:p>
    <w:p w14:paraId="0801EAC1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Mimétisme moléculaire :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Yersinia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enterocolitica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/ récepteur TSH</w:t>
      </w:r>
    </w:p>
    <w:p w14:paraId="4C979573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Tabac : </w:t>
      </w:r>
      <w:r>
        <w:rPr>
          <w:rFonts w:ascii="Book Antiqua" w:eastAsia="Book Antiqua" w:hAnsi="Book Antiqua" w:cs="Book Antiqua"/>
          <w:sz w:val="22"/>
          <w:szCs w:val="22"/>
        </w:rPr>
        <w:t>facteur de risque ET d'évolution plus sévère</w:t>
      </w:r>
    </w:p>
    <w:p w14:paraId="6E4D447A" w14:textId="77777777" w:rsidR="00A67868" w:rsidRPr="002B5BC0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sz w:val="22"/>
          <w:szCs w:val="22"/>
        </w:rPr>
        <w:t xml:space="preserve">Association à vitiligo, syndrome de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Gougerot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, anémie de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Biermer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>, diabète</w:t>
      </w:r>
    </w:p>
    <w:p w14:paraId="66415B2B" w14:textId="77777777" w:rsidR="002B5BC0" w:rsidRDefault="002B5BC0" w:rsidP="002B5BC0">
      <w:pPr>
        <w:spacing w:before="20" w:after="20"/>
      </w:pPr>
    </w:p>
    <w:p w14:paraId="6621EBD7" w14:textId="77777777" w:rsidR="002B5BC0" w:rsidRDefault="002B5BC0" w:rsidP="002B5BC0">
      <w:pPr>
        <w:spacing w:before="20" w:after="20"/>
      </w:pPr>
    </w:p>
    <w:p w14:paraId="3EDFDB6D" w14:textId="77777777" w:rsidR="002B5BC0" w:rsidRDefault="002B5BC0" w:rsidP="002B5BC0">
      <w:pPr>
        <w:spacing w:before="20" w:after="20"/>
      </w:pPr>
    </w:p>
    <w:p w14:paraId="31DE4C15" w14:textId="77777777" w:rsidR="00DF77C2" w:rsidRDefault="00DF77C2" w:rsidP="002B5BC0">
      <w:pPr>
        <w:spacing w:before="20" w:after="20"/>
      </w:pPr>
    </w:p>
    <w:p w14:paraId="4737D5BE" w14:textId="77777777" w:rsidR="00DF77C2" w:rsidRDefault="00DF77C2" w:rsidP="002B5BC0">
      <w:pPr>
        <w:spacing w:before="20" w:after="20"/>
      </w:pPr>
    </w:p>
    <w:p w14:paraId="2A514D00" w14:textId="77777777" w:rsidR="00DF77C2" w:rsidRDefault="00DF77C2" w:rsidP="002B5BC0">
      <w:pPr>
        <w:spacing w:before="20" w:after="20"/>
      </w:pPr>
    </w:p>
    <w:p w14:paraId="081B8689" w14:textId="77777777" w:rsidR="00DF77C2" w:rsidRDefault="00DF77C2" w:rsidP="002B5BC0">
      <w:pPr>
        <w:spacing w:before="20" w:after="20"/>
      </w:pPr>
    </w:p>
    <w:p w14:paraId="2548E526" w14:textId="77777777" w:rsidR="00A67868" w:rsidRDefault="00C246F5">
      <w:pPr>
        <w:spacing w:before="200" w:after="60"/>
      </w:pPr>
      <w:r>
        <w:rPr>
          <w:rFonts w:ascii="Book Antiqua" w:eastAsia="Book Antiqua" w:hAnsi="Book Antiqua" w:cs="Book Antiqua"/>
          <w:b/>
          <w:bCs/>
          <w:color w:val="1F3864"/>
          <w:sz w:val="32"/>
          <w:szCs w:val="32"/>
        </w:rPr>
        <w:t>▌ 4. ANTICORPS THYROÏDIENS — Repères</w:t>
      </w:r>
    </w:p>
    <w:p w14:paraId="788B9AC6" w14:textId="77777777" w:rsidR="00A67868" w:rsidRDefault="00A67868">
      <w:pPr>
        <w:pBdr>
          <w:bottom w:val="single" w:sz="8" w:space="1" w:color="2E6DA4"/>
        </w:pBdr>
        <w:spacing w:before="60" w:after="60"/>
      </w:pPr>
    </w:p>
    <w:p w14:paraId="1EBD9212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Ac anti-TPO : </w:t>
      </w:r>
      <w:r>
        <w:rPr>
          <w:rFonts w:ascii="Book Antiqua" w:eastAsia="Book Antiqua" w:hAnsi="Book Antiqua" w:cs="Book Antiqua"/>
          <w:sz w:val="22"/>
          <w:szCs w:val="22"/>
        </w:rPr>
        <w:t>&lt; 34 kUI/l — bloquent l'utilisation de l'iode par la TPO — marqueur principal Hashimoto</w:t>
      </w:r>
    </w:p>
    <w:p w14:paraId="699984D8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Ac anti-Tg : </w:t>
      </w:r>
      <w:r>
        <w:rPr>
          <w:rFonts w:ascii="Book Antiqua" w:eastAsia="Book Antiqua" w:hAnsi="Book Antiqua" w:cs="Book Antiqua"/>
          <w:sz w:val="22"/>
          <w:szCs w:val="22"/>
        </w:rPr>
        <w:t>&lt; 115 kIU/l — rôle pathogène mal connu — présents dans 20–50 % Hashimoto</w:t>
      </w:r>
    </w:p>
    <w:p w14:paraId="418A372C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TRAK (Ac anti-RTSH) : </w:t>
      </w:r>
      <w:r>
        <w:rPr>
          <w:rFonts w:ascii="Book Antiqua" w:eastAsia="Book Antiqua" w:hAnsi="Book Antiqua" w:cs="Book Antiqua"/>
          <w:sz w:val="22"/>
          <w:szCs w:val="22"/>
        </w:rPr>
        <w:t xml:space="preserve">Ac stimulants →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Basedow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/ Ac bloquants → hypotrophie glande</w:t>
      </w:r>
    </w:p>
    <w:p w14:paraId="6E73719E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Exploration biologique complète : </w:t>
      </w:r>
      <w:r>
        <w:rPr>
          <w:rFonts w:ascii="Book Antiqua" w:eastAsia="Book Antiqua" w:hAnsi="Book Antiqua" w:cs="Book Antiqua"/>
          <w:sz w:val="22"/>
          <w:szCs w:val="22"/>
        </w:rPr>
        <w:t xml:space="preserve">TSH, T3L, T4L, T3R, Ac anti-TPO, anti-Tg, TRAK,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iodurie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, vit D,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ferritine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>, zinc, sélénium</w:t>
      </w:r>
    </w:p>
    <w:p w14:paraId="5DDAA40C" w14:textId="77777777" w:rsidR="00A67868" w:rsidRDefault="00C246F5">
      <w:pPr>
        <w:spacing w:before="200" w:after="60"/>
      </w:pPr>
      <w:r>
        <w:rPr>
          <w:rFonts w:ascii="Book Antiqua" w:eastAsia="Book Antiqua" w:hAnsi="Book Antiqua" w:cs="Book Antiqua"/>
          <w:b/>
          <w:bCs/>
          <w:color w:val="1F3864"/>
          <w:sz w:val="32"/>
          <w:szCs w:val="32"/>
        </w:rPr>
        <w:t>▌ 5. PROPOSITION THÉRAPEUTIQUE NATURELLE</w:t>
      </w:r>
    </w:p>
    <w:p w14:paraId="27D43E8C" w14:textId="77777777" w:rsidR="00A67868" w:rsidRDefault="00A67868">
      <w:pPr>
        <w:pBdr>
          <w:bottom w:val="single" w:sz="8" w:space="1" w:color="2E6DA4"/>
        </w:pBdr>
        <w:spacing w:before="60" w:after="60"/>
      </w:pPr>
    </w:p>
    <w:p w14:paraId="147040B4" w14:textId="77777777" w:rsidR="00A67868" w:rsidRDefault="00C246F5">
      <w:pPr>
        <w:spacing w:before="140" w:after="40"/>
      </w:pPr>
      <w:r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 xml:space="preserve">Posture </w:t>
      </w:r>
      <w:proofErr w:type="spellStart"/>
      <w:r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>naturopathique</w:t>
      </w:r>
      <w:proofErr w:type="spellEnd"/>
    </w:p>
    <w:p w14:paraId="316EE394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sz w:val="22"/>
          <w:szCs w:val="22"/>
        </w:rPr>
        <w:t>Pathologie avérée → prise en charge médicale préalable obligatoire</w:t>
      </w:r>
    </w:p>
    <w:p w14:paraId="061D625C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sz w:val="22"/>
          <w:szCs w:val="22"/>
        </w:rPr>
        <w:t xml:space="preserve">Hyperthyroïdie frustre ou hypothyroïdie →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naturopathie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en première ligne ou en soutien</w:t>
      </w:r>
    </w:p>
    <w:p w14:paraId="305322BD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sz w:val="22"/>
          <w:szCs w:val="22"/>
        </w:rPr>
        <w:t xml:space="preserve">Toujours vérifier les bilans biologiques avant de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supplémenter</w:t>
      </w:r>
      <w:proofErr w:type="spellEnd"/>
    </w:p>
    <w:p w14:paraId="006872CC" w14:textId="77777777" w:rsidR="00A67868" w:rsidRDefault="00A67868">
      <w:pPr>
        <w:spacing w:before="40"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60"/>
        <w:gridCol w:w="2600"/>
      </w:tblGrid>
      <w:tr w:rsidR="00A67868" w14:paraId="46B242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8B02F" w14:textId="77777777" w:rsidR="00A67868" w:rsidRDefault="00C246F5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Axe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BDE21" w14:textId="77777777" w:rsidR="00A67868" w:rsidRDefault="00C246F5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Interventions clés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8528" w14:textId="77777777" w:rsidR="00A67868" w:rsidRDefault="00C246F5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Compléments / précisions</w:t>
            </w:r>
          </w:p>
        </w:tc>
      </w:tr>
      <w:tr w:rsidR="00A67868" w14:paraId="690574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A7281E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Alimentation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BAE90F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Diète méditerranéenne, IG bas, anti-oxydants, éviction gluten / lactose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8B95FA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Poisson 2×/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sem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 pour iode</w:t>
            </w:r>
          </w:p>
        </w:tc>
      </w:tr>
      <w:tr w:rsidR="00A67868" w14:paraId="4ADCDB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450DCD" w14:textId="77777777" w:rsidR="00A67868" w:rsidRDefault="00C246F5"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lastRenderedPageBreak/>
              <w:t>Microbiote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2F35F6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L-Glutamine, n-Butyrate, pré &amp;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probiotiques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35D298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Enzymes digestives si besoin</w:t>
            </w:r>
          </w:p>
        </w:tc>
      </w:tr>
      <w:tr w:rsidR="00A67868" w14:paraId="311877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AEA61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Inflammation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2E36D8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EPA/DHA,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resvératrol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astaxanthine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curcuma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Reishi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FAF1BB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Vérifier intolérances alimentaires</w:t>
            </w:r>
          </w:p>
        </w:tc>
      </w:tr>
      <w:tr w:rsidR="00A67868" w14:paraId="277CDF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E67C2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Antioxydants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FF373F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Sélénium, zinc, cuivre, manganèse, vit A/C/E, NAC, CoQ10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F74774" w14:textId="77777777" w:rsidR="00A67868" w:rsidRDefault="00C246F5"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Chélateurs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 métaux lourds</w:t>
            </w:r>
          </w:p>
        </w:tc>
      </w:tr>
      <w:tr w:rsidR="00A67868" w14:paraId="571AFC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8E2165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 xml:space="preserve">Thyroïde –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Hypo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41CE5" w14:textId="77777777" w:rsidR="00A67868" w:rsidRDefault="00C246F5"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L-Tyrosine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Gugul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 (T4→T3),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Bacopa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Éleuthérocoque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56B1C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Iode, sélénium, zinc, Mg, vit B</w:t>
            </w:r>
          </w:p>
        </w:tc>
      </w:tr>
      <w:tr w:rsidR="00A67868" w14:paraId="75D299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6884CC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Thyroïde – Hyper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BB6EDB" w14:textId="77777777" w:rsidR="00A67868" w:rsidRDefault="00C246F5"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L-Carnitine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 2–4 g/j,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Lycope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 (TM 30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gtt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 × 3/j), jus de chou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98C536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Mélisse,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Lithosperme</w:t>
            </w:r>
            <w:proofErr w:type="spellEnd"/>
          </w:p>
        </w:tc>
      </w:tr>
      <w:tr w:rsidR="00A67868" w14:paraId="0DBB9F9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674BB3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Stress / SNA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CFD397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Plantes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adaptogènes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, sophrologie, yoga, sommeil +++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51F39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Valériane (anxiolytique), aubépine</w:t>
            </w:r>
          </w:p>
        </w:tc>
      </w:tr>
      <w:tr w:rsidR="00A67868" w14:paraId="6FDB1EC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E6C53D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Auto-immunité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99D63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Vit D, contrôle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insulino-résistance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, gestion stress chronique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87ABEC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Réglisse, prêle</w:t>
            </w:r>
          </w:p>
        </w:tc>
      </w:tr>
    </w:tbl>
    <w:p w14:paraId="4437976C" w14:textId="77777777" w:rsidR="00A67868" w:rsidRDefault="00C246F5">
      <w:pPr>
        <w:spacing w:before="140" w:after="40"/>
      </w:pPr>
      <w:r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>Plantes spécifiques — Hyperthyroïdie</w:t>
      </w:r>
    </w:p>
    <w:p w14:paraId="23B8F037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Lycope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(</w:t>
      </w: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Lycopus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europaeus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) : </w:t>
      </w:r>
      <w:r>
        <w:rPr>
          <w:rFonts w:ascii="Book Antiqua" w:eastAsia="Book Antiqua" w:hAnsi="Book Antiqua" w:cs="Book Antiqua"/>
          <w:sz w:val="22"/>
          <w:szCs w:val="22"/>
        </w:rPr>
        <w:t xml:space="preserve">TM 30 gouttes × 3/j —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antithyréotrope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, inhibe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désiodase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T4→T3, inhibe IgG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Basedow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>, tachycardie</w:t>
      </w:r>
    </w:p>
    <w:p w14:paraId="08E429A1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Mélisse (Melissa </w:t>
      </w: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officinalis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) : </w:t>
      </w:r>
      <w:r>
        <w:rPr>
          <w:rFonts w:ascii="Book Antiqua" w:eastAsia="Book Antiqua" w:hAnsi="Book Antiqua" w:cs="Book Antiqua"/>
          <w:sz w:val="22"/>
          <w:szCs w:val="22"/>
        </w:rPr>
        <w:t>Inhibe la fixation de la TSH — effet anxiolytique, antispasmodique</w:t>
      </w:r>
    </w:p>
    <w:p w14:paraId="341DA915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Lithosperme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(</w:t>
      </w: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Lithospermum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officinale) : </w:t>
      </w:r>
      <w:r>
        <w:rPr>
          <w:rFonts w:ascii="Book Antiqua" w:eastAsia="Book Antiqua" w:hAnsi="Book Antiqua" w:cs="Book Antiqua"/>
          <w:sz w:val="22"/>
          <w:szCs w:val="22"/>
        </w:rPr>
        <w:t xml:space="preserve">Activité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antithyréotrope</w:t>
      </w:r>
      <w:proofErr w:type="spellEnd"/>
    </w:p>
    <w:p w14:paraId="70EC48D1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L-carnitine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: </w:t>
      </w:r>
      <w:r>
        <w:rPr>
          <w:rFonts w:ascii="Book Antiqua" w:eastAsia="Book Antiqua" w:hAnsi="Book Antiqua" w:cs="Book Antiqua"/>
          <w:sz w:val="22"/>
          <w:szCs w:val="22"/>
        </w:rPr>
        <w:t>2–4 g/j — inhibe pénétration T3/T4 dans le noyau — lutte contre myopathie et fatigue musculaire</w:t>
      </w:r>
    </w:p>
    <w:p w14:paraId="33B270FD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Jus de chou (</w:t>
      </w: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Brassica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oleracea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) : </w:t>
      </w:r>
      <w:r>
        <w:rPr>
          <w:rFonts w:ascii="Book Antiqua" w:eastAsia="Book Antiqua" w:hAnsi="Book Antiqua" w:cs="Book Antiqua"/>
          <w:sz w:val="22"/>
          <w:szCs w:val="22"/>
        </w:rPr>
        <w:t xml:space="preserve">2–3× /j en apéritif —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goitrogène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naturel, ralentit fixation iode — améliore transit rapide</w:t>
      </w:r>
    </w:p>
    <w:p w14:paraId="5FA56583" w14:textId="77777777" w:rsidR="00A67868" w:rsidRDefault="00C246F5">
      <w:pPr>
        <w:spacing w:before="140" w:after="40"/>
      </w:pPr>
      <w:r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>Plantes spécifiques — Hypothyroïdie</w:t>
      </w:r>
    </w:p>
    <w:p w14:paraId="673436FE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Gugul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(</w:t>
      </w: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Commophora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mucul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) : </w:t>
      </w:r>
      <w:r>
        <w:rPr>
          <w:rFonts w:ascii="Book Antiqua" w:eastAsia="Book Antiqua" w:hAnsi="Book Antiqua" w:cs="Book Antiqua"/>
          <w:sz w:val="22"/>
          <w:szCs w:val="22"/>
        </w:rPr>
        <w:t>Stimule la conversion T4→T3 active</w:t>
      </w:r>
    </w:p>
    <w:p w14:paraId="592E9766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Bacopa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(</w:t>
      </w: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Bacopa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</w:t>
      </w: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monnieri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) :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Adaptogène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>, redonne de l'énergie</w:t>
      </w:r>
    </w:p>
    <w:p w14:paraId="6B72F7D2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Éleuthérocoque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: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Adaptogène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>, résistance au stress</w:t>
      </w:r>
    </w:p>
    <w:p w14:paraId="349A3657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L-Tyrosine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 : </w:t>
      </w:r>
      <w:r>
        <w:rPr>
          <w:rFonts w:ascii="Book Antiqua" w:eastAsia="Book Antiqua" w:hAnsi="Book Antiqua" w:cs="Book Antiqua"/>
          <w:sz w:val="22"/>
          <w:szCs w:val="22"/>
        </w:rPr>
        <w:t>Précurseur des HT — associer à l'iode et au zinc</w:t>
      </w:r>
    </w:p>
    <w:p w14:paraId="1B23759C" w14:textId="77777777" w:rsidR="00A67868" w:rsidRDefault="00C246F5">
      <w:pPr>
        <w:spacing w:before="140" w:after="40"/>
      </w:pPr>
      <w:proofErr w:type="spellStart"/>
      <w:r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>Micronutriments</w:t>
      </w:r>
      <w:proofErr w:type="spellEnd"/>
      <w:r>
        <w:rPr>
          <w:rFonts w:ascii="Book Antiqua" w:eastAsia="Book Antiqua" w:hAnsi="Book Antiqua" w:cs="Book Antiqua"/>
          <w:b/>
          <w:bCs/>
          <w:color w:val="2E6DA4"/>
          <w:sz w:val="26"/>
          <w:szCs w:val="26"/>
        </w:rPr>
        <w:t xml:space="preserve"> essentiels (thyroïde)</w:t>
      </w:r>
    </w:p>
    <w:p w14:paraId="3A639885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Sélénium : </w:t>
      </w:r>
      <w:r>
        <w:rPr>
          <w:rFonts w:ascii="Book Antiqua" w:eastAsia="Book Antiqua" w:hAnsi="Book Antiqua" w:cs="Book Antiqua"/>
          <w:sz w:val="22"/>
          <w:szCs w:val="22"/>
        </w:rPr>
        <w:t xml:space="preserve">Cofacteur TPO et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désiodase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— réduit Ac anti-TPO — protège contre stress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oxydatif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intrathyroïdien</w:t>
      </w:r>
      <w:proofErr w:type="spellEnd"/>
    </w:p>
    <w:p w14:paraId="19DEFEA9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Iode : </w:t>
      </w:r>
      <w:r>
        <w:rPr>
          <w:rFonts w:ascii="Book Antiqua" w:eastAsia="Book Antiqua" w:hAnsi="Book Antiqua" w:cs="Book Antiqua"/>
          <w:sz w:val="22"/>
          <w:szCs w:val="22"/>
        </w:rPr>
        <w:t xml:space="preserve">Substrat HT — attention : contre-indiqué en excès dans Hashimoto et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Basedow</w:t>
      </w:r>
      <w:proofErr w:type="spellEnd"/>
    </w:p>
    <w:p w14:paraId="1ADC52CB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Zinc : </w:t>
      </w:r>
      <w:r>
        <w:rPr>
          <w:rFonts w:ascii="Book Antiqua" w:eastAsia="Book Antiqua" w:hAnsi="Book Antiqua" w:cs="Book Antiqua"/>
          <w:sz w:val="22"/>
          <w:szCs w:val="22"/>
        </w:rPr>
        <w:t xml:space="preserve">Cofacteur enzymatique multiple —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immuno-modulateur</w:t>
      </w:r>
      <w:proofErr w:type="spellEnd"/>
    </w:p>
    <w:p w14:paraId="1160EE78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Vit D : </w:t>
      </w:r>
      <w:r>
        <w:rPr>
          <w:rFonts w:ascii="Book Antiqua" w:eastAsia="Book Antiqua" w:hAnsi="Book Antiqua" w:cs="Book Antiqua"/>
          <w:sz w:val="22"/>
          <w:szCs w:val="22"/>
        </w:rPr>
        <w:t xml:space="preserve">Régule l'immunité — carence amplifie MAI — cible &gt; 40–60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ng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>/mL</w:t>
      </w:r>
    </w:p>
    <w:p w14:paraId="4EA93853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Magnésium : </w:t>
      </w:r>
      <w:r>
        <w:rPr>
          <w:rFonts w:ascii="Book Antiqua" w:eastAsia="Book Antiqua" w:hAnsi="Book Antiqua" w:cs="Book Antiqua"/>
          <w:sz w:val="22"/>
          <w:szCs w:val="22"/>
        </w:rPr>
        <w:t>Anti-stress, cofacteur enzymes thyroïdiennes</w:t>
      </w:r>
    </w:p>
    <w:p w14:paraId="4CE2B3F9" w14:textId="77777777" w:rsidR="00A67868" w:rsidRDefault="00C246F5">
      <w:pPr>
        <w:pStyle w:val="Paragraphedeliste"/>
        <w:numPr>
          <w:ilvl w:val="0"/>
          <w:numId w:val="2"/>
        </w:numPr>
        <w:spacing w:before="20" w:after="20"/>
      </w:pPr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Fer (</w:t>
      </w:r>
      <w:proofErr w:type="spellStart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>ferritine</w:t>
      </w:r>
      <w:proofErr w:type="spellEnd"/>
      <w:r>
        <w:rPr>
          <w:rFonts w:ascii="Book Antiqua" w:eastAsia="Book Antiqua" w:hAnsi="Book Antiqua" w:cs="Book Antiqua"/>
          <w:b/>
          <w:bCs/>
          <w:color w:val="E8967A"/>
          <w:sz w:val="22"/>
          <w:szCs w:val="22"/>
        </w:rPr>
        <w:t xml:space="preserve">) : </w:t>
      </w:r>
      <w:r>
        <w:rPr>
          <w:rFonts w:ascii="Book Antiqua" w:eastAsia="Book Antiqua" w:hAnsi="Book Antiqua" w:cs="Book Antiqua"/>
          <w:sz w:val="22"/>
          <w:szCs w:val="22"/>
        </w:rPr>
        <w:t xml:space="preserve">Nécessaire à la TPO — cible </w:t>
      </w:r>
      <w:proofErr w:type="spellStart"/>
      <w:r>
        <w:rPr>
          <w:rFonts w:ascii="Book Antiqua" w:eastAsia="Book Antiqua" w:hAnsi="Book Antiqua" w:cs="Book Antiqua"/>
          <w:sz w:val="22"/>
          <w:szCs w:val="22"/>
        </w:rPr>
        <w:t>ferritine</w:t>
      </w:r>
      <w:proofErr w:type="spellEnd"/>
      <w:r>
        <w:rPr>
          <w:rFonts w:ascii="Book Antiqua" w:eastAsia="Book Antiqua" w:hAnsi="Book Antiqua" w:cs="Book Antiqua"/>
          <w:sz w:val="22"/>
          <w:szCs w:val="22"/>
        </w:rPr>
        <w:t xml:space="preserve"> &gt; 100 µg/L</w:t>
      </w:r>
    </w:p>
    <w:p w14:paraId="301F3FE9" w14:textId="77777777" w:rsidR="00A67868" w:rsidRDefault="00C246F5">
      <w:pPr>
        <w:spacing w:before="200" w:after="60"/>
      </w:pPr>
      <w:r>
        <w:rPr>
          <w:rFonts w:ascii="Book Antiqua" w:eastAsia="Book Antiqua" w:hAnsi="Book Antiqua" w:cs="Book Antiqua"/>
          <w:b/>
          <w:bCs/>
          <w:color w:val="1F3864"/>
          <w:sz w:val="32"/>
          <w:szCs w:val="32"/>
        </w:rPr>
        <w:t>▌ 6. AIDE-MÉMOIRE — À ne pas confondre</w:t>
      </w:r>
    </w:p>
    <w:p w14:paraId="39E38910" w14:textId="77777777" w:rsidR="00A67868" w:rsidRDefault="00A67868">
      <w:pPr>
        <w:pBdr>
          <w:bottom w:val="single" w:sz="8" w:space="1" w:color="2E6DA4"/>
        </w:pBdr>
        <w:spacing w:before="60" w:after="6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0"/>
        <w:gridCol w:w="3550"/>
        <w:gridCol w:w="3550"/>
      </w:tblGrid>
      <w:tr w:rsidR="00A67868" w14:paraId="45FD5F1F" w14:textId="77777777"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0639" w14:textId="77777777" w:rsidR="00A67868" w:rsidRDefault="00C246F5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Terme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1A99F" w14:textId="77777777" w:rsidR="00A67868" w:rsidRDefault="00C246F5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Définition courte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2EB2" w14:textId="77777777" w:rsidR="00A67868" w:rsidRDefault="00C246F5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Marqueurs biologiques</w:t>
            </w:r>
          </w:p>
        </w:tc>
      </w:tr>
      <w:tr w:rsidR="00A67868" w14:paraId="099B97C6" w14:textId="77777777"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6F6DD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Hypothyroïdie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A94484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Thyroïde sous-active → manque HT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B659B0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TSH ↑ + T4 ↓ (franche) / T4 normale (frustre)</w:t>
            </w:r>
          </w:p>
        </w:tc>
      </w:tr>
      <w:tr w:rsidR="00A67868" w14:paraId="0E8AE472" w14:textId="77777777"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1A2A72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lastRenderedPageBreak/>
              <w:t>Hyperthyroïdie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B3500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Thyroïde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hyperactive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 xml:space="preserve"> → excès HT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8D15D2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TSH ↓ + T3/T4 ↑</w:t>
            </w:r>
          </w:p>
        </w:tc>
      </w:tr>
      <w:tr w:rsidR="00A67868" w14:paraId="61123ADA" w14:textId="77777777"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AA403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Thyroïdite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2BC36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Inflammation de la thyroïde (quelle qu'en soit la cause)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9B5B82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Variable selon le type</w:t>
            </w:r>
          </w:p>
        </w:tc>
      </w:tr>
      <w:tr w:rsidR="00A67868" w14:paraId="2BAC22A1" w14:textId="77777777"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68B8FB" w14:textId="77777777" w:rsidR="00A67868" w:rsidRDefault="00C246F5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Hashimoto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D2B5C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Thyroïdite auto-immune → hypothyroïdie à terme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C52869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Ac anti-TPO ↑ ± anti-Tg ↑ + TSH ↑</w:t>
            </w:r>
          </w:p>
        </w:tc>
      </w:tr>
      <w:tr w:rsidR="00A67868" w14:paraId="005D5650" w14:textId="77777777"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B95634" w14:textId="77777777" w:rsidR="00A67868" w:rsidRDefault="00C246F5"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Basedow</w:t>
            </w:r>
            <w:proofErr w:type="spellEnd"/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CC8F5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MAI → hyperthyroïdie par Ac stimulants RTSH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261E17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TRAK + / TSH ↓ + T3/T4 ↑</w:t>
            </w:r>
          </w:p>
        </w:tc>
      </w:tr>
      <w:tr w:rsidR="00A67868" w14:paraId="7B2566CB" w14:textId="77777777"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C4FB94" w14:textId="77777777" w:rsidR="00A67868" w:rsidRDefault="00C246F5"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21"/>
                <w:szCs w:val="21"/>
              </w:rPr>
              <w:t>Hashitoxicose</w:t>
            </w:r>
            <w:proofErr w:type="spellEnd"/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F41F4D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Phase transitoire d'hyperthyroïdie au début de Hashimoto</w:t>
            </w:r>
          </w:p>
        </w:tc>
        <w:tc>
          <w:tcPr>
            <w:tcW w:w="3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61C093" w14:textId="77777777" w:rsidR="00A67868" w:rsidRDefault="00C246F5"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</w:rPr>
              <w:t>TSH ↓ transitoire + Ac anti-TPO ↑</w:t>
            </w:r>
          </w:p>
        </w:tc>
      </w:tr>
    </w:tbl>
    <w:p w14:paraId="64E57E12" w14:textId="77777777" w:rsidR="00A67868" w:rsidRDefault="00A67868">
      <w:pPr>
        <w:spacing w:before="100" w:after="40"/>
      </w:pPr>
    </w:p>
    <w:p w14:paraId="532260C3" w14:textId="77777777" w:rsidR="00A67868" w:rsidRDefault="00A67868">
      <w:pPr>
        <w:pBdr>
          <w:bottom w:val="single" w:sz="8" w:space="1" w:color="E8967A"/>
        </w:pBdr>
        <w:spacing w:before="60" w:after="60"/>
      </w:pPr>
    </w:p>
    <w:p w14:paraId="68E70C14" w14:textId="77777777" w:rsidR="00A67868" w:rsidRDefault="00C246F5">
      <w:pPr>
        <w:spacing w:before="60"/>
        <w:jc w:val="center"/>
      </w:pPr>
      <w:r>
        <w:rPr>
          <w:rFonts w:ascii="Book Antiqua" w:eastAsia="Book Antiqua" w:hAnsi="Book Antiqua" w:cs="Book Antiqua"/>
          <w:i/>
          <w:iCs/>
          <w:color w:val="AAAAAA"/>
          <w:sz w:val="18"/>
          <w:szCs w:val="18"/>
        </w:rPr>
        <w:t>ESN — Module 12 — Thyroïdites | Fiche de révision générée depuis le support Pascale Faivre</w:t>
      </w:r>
    </w:p>
    <w:sectPr w:rsidR="00A67868" w:rsidSect="004F391E">
      <w:footerReference w:type="even" r:id="rId12"/>
      <w:footerReference w:type="default" r:id="rId13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9689A" w14:textId="77777777" w:rsidR="000C742E" w:rsidRDefault="000C742E" w:rsidP="00DD37B5">
      <w:r>
        <w:separator/>
      </w:r>
    </w:p>
  </w:endnote>
  <w:endnote w:type="continuationSeparator" w:id="0">
    <w:p w14:paraId="5ABAA73B" w14:textId="77777777" w:rsidR="000C742E" w:rsidRDefault="000C742E" w:rsidP="00DD3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59541074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388AB8E" w14:textId="3C186330" w:rsidR="00DD37B5" w:rsidRDefault="00DD37B5" w:rsidP="0094484B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3DB480B3" w14:textId="77777777" w:rsidR="00DD37B5" w:rsidRDefault="00DD37B5" w:rsidP="00DD37B5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6332973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F9366D3" w14:textId="6A23DD9B" w:rsidR="00DD37B5" w:rsidRDefault="00DD37B5" w:rsidP="0094484B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1132B401" w14:textId="77777777" w:rsidR="00DD37B5" w:rsidRDefault="00DD37B5" w:rsidP="00DD37B5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D1066" w14:textId="77777777" w:rsidR="000C742E" w:rsidRDefault="000C742E" w:rsidP="00DD37B5">
      <w:r>
        <w:separator/>
      </w:r>
    </w:p>
  </w:footnote>
  <w:footnote w:type="continuationSeparator" w:id="0">
    <w:p w14:paraId="1087344B" w14:textId="77777777" w:rsidR="000C742E" w:rsidRDefault="000C742E" w:rsidP="00DD37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55E61"/>
    <w:multiLevelType w:val="hybridMultilevel"/>
    <w:tmpl w:val="FFFFFFFF"/>
    <w:lvl w:ilvl="0" w:tplc="0F0236DA">
      <w:start w:val="1"/>
      <w:numFmt w:val="bullet"/>
      <w:lvlText w:val="•"/>
      <w:lvlJc w:val="left"/>
      <w:pPr>
        <w:ind w:left="600" w:hanging="300"/>
      </w:pPr>
    </w:lvl>
    <w:lvl w:ilvl="1" w:tplc="A2029FCC">
      <w:start w:val="1"/>
      <w:numFmt w:val="bullet"/>
      <w:lvlText w:val="◦"/>
      <w:lvlJc w:val="left"/>
      <w:pPr>
        <w:ind w:left="1000" w:hanging="300"/>
      </w:pPr>
    </w:lvl>
    <w:lvl w:ilvl="2" w:tplc="BBDA4630">
      <w:numFmt w:val="decimal"/>
      <w:lvlText w:val=""/>
      <w:lvlJc w:val="left"/>
    </w:lvl>
    <w:lvl w:ilvl="3" w:tplc="1210713E">
      <w:numFmt w:val="decimal"/>
      <w:lvlText w:val=""/>
      <w:lvlJc w:val="left"/>
    </w:lvl>
    <w:lvl w:ilvl="4" w:tplc="EE189CB8">
      <w:numFmt w:val="decimal"/>
      <w:lvlText w:val=""/>
      <w:lvlJc w:val="left"/>
    </w:lvl>
    <w:lvl w:ilvl="5" w:tplc="E1E6DCDE">
      <w:numFmt w:val="decimal"/>
      <w:lvlText w:val=""/>
      <w:lvlJc w:val="left"/>
    </w:lvl>
    <w:lvl w:ilvl="6" w:tplc="CB76224C">
      <w:numFmt w:val="decimal"/>
      <w:lvlText w:val=""/>
      <w:lvlJc w:val="left"/>
    </w:lvl>
    <w:lvl w:ilvl="7" w:tplc="2A9E3B3E">
      <w:numFmt w:val="decimal"/>
      <w:lvlText w:val=""/>
      <w:lvlJc w:val="left"/>
    </w:lvl>
    <w:lvl w:ilvl="8" w:tplc="259A0434">
      <w:numFmt w:val="decimal"/>
      <w:lvlText w:val=""/>
      <w:lvlJc w:val="left"/>
    </w:lvl>
  </w:abstractNum>
  <w:abstractNum w:abstractNumId="1" w15:restartNumberingAfterBreak="0">
    <w:nsid w:val="425F042F"/>
    <w:multiLevelType w:val="hybridMultilevel"/>
    <w:tmpl w:val="FFFFFFFF"/>
    <w:lvl w:ilvl="0" w:tplc="7D3E4D2A">
      <w:start w:val="1"/>
      <w:numFmt w:val="bullet"/>
      <w:lvlText w:val="●"/>
      <w:lvlJc w:val="left"/>
      <w:pPr>
        <w:ind w:left="720" w:hanging="360"/>
      </w:pPr>
    </w:lvl>
    <w:lvl w:ilvl="1" w:tplc="A296DB42">
      <w:start w:val="1"/>
      <w:numFmt w:val="bullet"/>
      <w:lvlText w:val="○"/>
      <w:lvlJc w:val="left"/>
      <w:pPr>
        <w:ind w:left="1440" w:hanging="360"/>
      </w:pPr>
    </w:lvl>
    <w:lvl w:ilvl="2" w:tplc="1DF00952">
      <w:start w:val="1"/>
      <w:numFmt w:val="bullet"/>
      <w:lvlText w:val="■"/>
      <w:lvlJc w:val="left"/>
      <w:pPr>
        <w:ind w:left="2160" w:hanging="360"/>
      </w:pPr>
    </w:lvl>
    <w:lvl w:ilvl="3" w:tplc="0C64D1A4">
      <w:start w:val="1"/>
      <w:numFmt w:val="bullet"/>
      <w:lvlText w:val="●"/>
      <w:lvlJc w:val="left"/>
      <w:pPr>
        <w:ind w:left="2880" w:hanging="360"/>
      </w:pPr>
    </w:lvl>
    <w:lvl w:ilvl="4" w:tplc="10305348">
      <w:start w:val="1"/>
      <w:numFmt w:val="bullet"/>
      <w:lvlText w:val="○"/>
      <w:lvlJc w:val="left"/>
      <w:pPr>
        <w:ind w:left="3600" w:hanging="360"/>
      </w:pPr>
    </w:lvl>
    <w:lvl w:ilvl="5" w:tplc="44D2BD8E">
      <w:start w:val="1"/>
      <w:numFmt w:val="bullet"/>
      <w:lvlText w:val="■"/>
      <w:lvlJc w:val="left"/>
      <w:pPr>
        <w:ind w:left="4320" w:hanging="360"/>
      </w:pPr>
    </w:lvl>
    <w:lvl w:ilvl="6" w:tplc="882C71F6">
      <w:start w:val="1"/>
      <w:numFmt w:val="bullet"/>
      <w:lvlText w:val="●"/>
      <w:lvlJc w:val="left"/>
      <w:pPr>
        <w:ind w:left="5040" w:hanging="360"/>
      </w:pPr>
    </w:lvl>
    <w:lvl w:ilvl="7" w:tplc="67268C0A">
      <w:start w:val="1"/>
      <w:numFmt w:val="bullet"/>
      <w:lvlText w:val="●"/>
      <w:lvlJc w:val="left"/>
      <w:pPr>
        <w:ind w:left="5760" w:hanging="360"/>
      </w:pPr>
    </w:lvl>
    <w:lvl w:ilvl="8" w:tplc="C186A7C2">
      <w:start w:val="1"/>
      <w:numFmt w:val="bullet"/>
      <w:lvlText w:val="●"/>
      <w:lvlJc w:val="left"/>
      <w:pPr>
        <w:ind w:left="6480" w:hanging="360"/>
      </w:pPr>
    </w:lvl>
  </w:abstractNum>
  <w:num w:numId="1" w16cid:durableId="296297609">
    <w:abstractNumId w:val="1"/>
    <w:lvlOverride w:ilvl="0">
      <w:startOverride w:val="1"/>
    </w:lvlOverride>
  </w:num>
  <w:num w:numId="2" w16cid:durableId="544217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868"/>
    <w:rsid w:val="00013948"/>
    <w:rsid w:val="00024294"/>
    <w:rsid w:val="000510A7"/>
    <w:rsid w:val="00062E45"/>
    <w:rsid w:val="000638E0"/>
    <w:rsid w:val="00096187"/>
    <w:rsid w:val="000A28C2"/>
    <w:rsid w:val="000B53E7"/>
    <w:rsid w:val="000C742E"/>
    <w:rsid w:val="000F5AE4"/>
    <w:rsid w:val="00132501"/>
    <w:rsid w:val="00140B58"/>
    <w:rsid w:val="001A3975"/>
    <w:rsid w:val="001A39AF"/>
    <w:rsid w:val="001D7403"/>
    <w:rsid w:val="00202E46"/>
    <w:rsid w:val="0021297A"/>
    <w:rsid w:val="002323F7"/>
    <w:rsid w:val="002423BF"/>
    <w:rsid w:val="00252797"/>
    <w:rsid w:val="00263210"/>
    <w:rsid w:val="002A1628"/>
    <w:rsid w:val="002B5BC0"/>
    <w:rsid w:val="002C4485"/>
    <w:rsid w:val="002C5A37"/>
    <w:rsid w:val="002F16DB"/>
    <w:rsid w:val="00316357"/>
    <w:rsid w:val="003460EF"/>
    <w:rsid w:val="00357DB0"/>
    <w:rsid w:val="003677B2"/>
    <w:rsid w:val="00382A22"/>
    <w:rsid w:val="00382A77"/>
    <w:rsid w:val="003D76B3"/>
    <w:rsid w:val="003F40A3"/>
    <w:rsid w:val="004276A5"/>
    <w:rsid w:val="00436280"/>
    <w:rsid w:val="0044161B"/>
    <w:rsid w:val="0047704C"/>
    <w:rsid w:val="004873E3"/>
    <w:rsid w:val="0049326F"/>
    <w:rsid w:val="00493D70"/>
    <w:rsid w:val="004A24E5"/>
    <w:rsid w:val="004A28F5"/>
    <w:rsid w:val="004B0D20"/>
    <w:rsid w:val="004F391E"/>
    <w:rsid w:val="00502D73"/>
    <w:rsid w:val="0053363D"/>
    <w:rsid w:val="00537426"/>
    <w:rsid w:val="0055088F"/>
    <w:rsid w:val="00574520"/>
    <w:rsid w:val="005D0702"/>
    <w:rsid w:val="005D5BE5"/>
    <w:rsid w:val="006134CB"/>
    <w:rsid w:val="006C254C"/>
    <w:rsid w:val="006F07BA"/>
    <w:rsid w:val="00707CD2"/>
    <w:rsid w:val="0071652D"/>
    <w:rsid w:val="00756785"/>
    <w:rsid w:val="00776795"/>
    <w:rsid w:val="007A6849"/>
    <w:rsid w:val="007D509B"/>
    <w:rsid w:val="007E1500"/>
    <w:rsid w:val="00822B69"/>
    <w:rsid w:val="00830A9A"/>
    <w:rsid w:val="00836600"/>
    <w:rsid w:val="00873479"/>
    <w:rsid w:val="008B0173"/>
    <w:rsid w:val="008F18FD"/>
    <w:rsid w:val="009010CB"/>
    <w:rsid w:val="00917EAA"/>
    <w:rsid w:val="00924FE8"/>
    <w:rsid w:val="00946B5F"/>
    <w:rsid w:val="00963ADF"/>
    <w:rsid w:val="009731CD"/>
    <w:rsid w:val="00973A35"/>
    <w:rsid w:val="009B720E"/>
    <w:rsid w:val="00A110AE"/>
    <w:rsid w:val="00A156BD"/>
    <w:rsid w:val="00A31CD1"/>
    <w:rsid w:val="00A35FF4"/>
    <w:rsid w:val="00A67868"/>
    <w:rsid w:val="00AC49C6"/>
    <w:rsid w:val="00AE3405"/>
    <w:rsid w:val="00B02B61"/>
    <w:rsid w:val="00B23A6D"/>
    <w:rsid w:val="00B548F8"/>
    <w:rsid w:val="00B85B99"/>
    <w:rsid w:val="00BA4EBF"/>
    <w:rsid w:val="00BE2F30"/>
    <w:rsid w:val="00BF30FC"/>
    <w:rsid w:val="00BF7FC0"/>
    <w:rsid w:val="00C246F5"/>
    <w:rsid w:val="00C45262"/>
    <w:rsid w:val="00C472D6"/>
    <w:rsid w:val="00C65F4C"/>
    <w:rsid w:val="00C71B2A"/>
    <w:rsid w:val="00C80A3C"/>
    <w:rsid w:val="00C81542"/>
    <w:rsid w:val="00CA5543"/>
    <w:rsid w:val="00CE70CC"/>
    <w:rsid w:val="00D46263"/>
    <w:rsid w:val="00D46DB1"/>
    <w:rsid w:val="00D77300"/>
    <w:rsid w:val="00D814B4"/>
    <w:rsid w:val="00D876DE"/>
    <w:rsid w:val="00DA265F"/>
    <w:rsid w:val="00DA6D80"/>
    <w:rsid w:val="00DB5A92"/>
    <w:rsid w:val="00DD37B5"/>
    <w:rsid w:val="00DF77C2"/>
    <w:rsid w:val="00E36CE0"/>
    <w:rsid w:val="00E70BA7"/>
    <w:rsid w:val="00E713DF"/>
    <w:rsid w:val="00E7656E"/>
    <w:rsid w:val="00E84C99"/>
    <w:rsid w:val="00E8775A"/>
    <w:rsid w:val="00E94943"/>
    <w:rsid w:val="00EB2F22"/>
    <w:rsid w:val="00EC26AC"/>
    <w:rsid w:val="00EC7610"/>
    <w:rsid w:val="00ED6481"/>
    <w:rsid w:val="00EF64E9"/>
    <w:rsid w:val="00F34553"/>
    <w:rsid w:val="00F53A33"/>
    <w:rsid w:val="00F53CE0"/>
    <w:rsid w:val="00FB34A8"/>
    <w:rsid w:val="00FB6852"/>
    <w:rsid w:val="00FC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41B9D8"/>
  <w15:docId w15:val="{AC376199-28B7-1F41-B620-3521921B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DD37B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D37B5"/>
  </w:style>
  <w:style w:type="paragraph" w:styleId="Pieddepage">
    <w:name w:val="footer"/>
    <w:basedOn w:val="Normal"/>
    <w:link w:val="PieddepageCar"/>
    <w:uiPriority w:val="99"/>
    <w:unhideWhenUsed/>
    <w:rsid w:val="00DD37B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D37B5"/>
  </w:style>
  <w:style w:type="character" w:styleId="Numrodepage">
    <w:name w:val="page number"/>
    <w:basedOn w:val="Policepardfaut"/>
    <w:uiPriority w:val="99"/>
    <w:semiHidden/>
    <w:unhideWhenUsed/>
    <w:rsid w:val="00DD3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1706</Words>
  <Characters>9386</Characters>
  <Application>Microsoft Office Word</Application>
  <DocSecurity>0</DocSecurity>
  <Lines>78</Lines>
  <Paragraphs>22</Paragraphs>
  <ScaleCrop>false</ScaleCrop>
  <Company/>
  <LinksUpToDate>false</LinksUpToDate>
  <CharactersWithSpaces>11070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2026-04-07T11:17:00Z</dcterms:created>
  <dcterms:modified xsi:type="dcterms:W3CDTF">2026-04-07T11:17:00Z</dcterms:modified>
</cp:coreProperties>
</file>