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37CD8" w14:paraId="7734617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80" w:type="dxa"/>
              <w:left w:w="300" w:type="dxa"/>
              <w:bottom w:w="180" w:type="dxa"/>
              <w:right w:w="300" w:type="dxa"/>
            </w:tcMar>
          </w:tcPr>
          <w:p w14:paraId="441BBD27" w14:textId="77777777" w:rsidR="00837CD8" w:rsidRDefault="00B51BA3">
            <w:pPr>
              <w:jc w:val="center"/>
            </w:pPr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40"/>
                <w:szCs w:val="40"/>
              </w:rPr>
              <w:t xml:space="preserve">DÉBRIF DE SÉANCE DE </w:t>
            </w:r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40"/>
                <w:szCs w:val="40"/>
              </w:rPr>
              <w:t>NATUROPATHIE</w:t>
            </w:r>
            <w:proofErr w:type="spellEnd"/>
          </w:p>
        </w:tc>
      </w:tr>
    </w:tbl>
    <w:p w14:paraId="2F8B6247" w14:textId="77777777" w:rsidR="00837CD8" w:rsidRDefault="00837CD8">
      <w:pPr>
        <w:spacing w:after="24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55"/>
        <w:gridCol w:w="6005"/>
      </w:tblGrid>
      <w:tr w:rsidR="00837CD8" w14:paraId="15EF6B3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11460E0B" w14:textId="77777777" w:rsidR="00837CD8" w:rsidRDefault="00B51BA3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26"/>
                <w:szCs w:val="26"/>
              </w:rPr>
              <w:t>Séance filmée : Lola &amp; Jessica</w:t>
            </w:r>
          </w:p>
          <w:p w14:paraId="47958414" w14:textId="77777777" w:rsidR="00837CD8" w:rsidRDefault="00B51BA3">
            <w:proofErr w:type="spellStart"/>
            <w:r>
              <w:rPr>
                <w:rFonts w:ascii="Book Antiqua" w:eastAsia="Book Antiqua" w:hAnsi="Book Antiqua" w:cs="Book Antiqua"/>
                <w:color w:val="444444"/>
              </w:rPr>
              <w:t>Naturopathe</w:t>
            </w:r>
            <w:proofErr w:type="spellEnd"/>
            <w:r>
              <w:rPr>
                <w:rFonts w:ascii="Book Antiqua" w:eastAsia="Book Antiqua" w:hAnsi="Book Antiqua" w:cs="Book Antiqua"/>
                <w:color w:val="444444"/>
              </w:rPr>
              <w:t xml:space="preserve"> praticienne : Jessica </w:t>
            </w:r>
            <w:proofErr w:type="spellStart"/>
            <w:r>
              <w:rPr>
                <w:rFonts w:ascii="Book Antiqua" w:eastAsia="Book Antiqua" w:hAnsi="Book Antiqua" w:cs="Book Antiqua"/>
                <w:color w:val="444444"/>
              </w:rPr>
              <w:t>Brail</w:t>
            </w:r>
            <w:proofErr w:type="spellEnd"/>
          </w:p>
          <w:p w14:paraId="4DF8C310" w14:textId="77777777" w:rsidR="00837CD8" w:rsidRDefault="00B51BA3">
            <w:r>
              <w:rPr>
                <w:rFonts w:ascii="Book Antiqua" w:eastAsia="Book Antiqua" w:hAnsi="Book Antiqua" w:cs="Book Antiqua"/>
                <w:color w:val="444444"/>
              </w:rPr>
              <w:t>Formatrice : École de Santé Naturelle (ESN)</w:t>
            </w:r>
          </w:p>
          <w:p w14:paraId="5B6027CF" w14:textId="77777777" w:rsidR="00837CD8" w:rsidRDefault="00B51BA3">
            <w:r>
              <w:rPr>
                <w:rFonts w:ascii="Book Antiqua" w:eastAsia="Book Antiqua" w:hAnsi="Book Antiqua" w:cs="Book Antiqua"/>
                <w:color w:val="444444"/>
              </w:rPr>
              <w:t>Date : 16/03/2026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D5C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E418BA" w14:textId="77777777" w:rsidR="00837CD8" w:rsidRDefault="00B51BA3">
            <w:r>
              <w:rPr>
                <w:rFonts w:ascii="Book Antiqua" w:eastAsia="Book Antiqua" w:hAnsi="Book Antiqua" w:cs="Book Antiqua"/>
                <w:b/>
                <w:bCs/>
                <w:color w:val="E8825A"/>
              </w:rPr>
              <w:t>Motif de la séance</w:t>
            </w:r>
          </w:p>
          <w:p w14:paraId="539559F5" w14:textId="77777777" w:rsidR="00837CD8" w:rsidRDefault="00B51BA3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Acné inflammatoire (hormonale + hygiène de vie)</w:t>
            </w:r>
          </w:p>
          <w:p w14:paraId="23A8E34C" w14:textId="77777777" w:rsidR="00837CD8" w:rsidRDefault="00B51BA3">
            <w:pPr>
              <w:spacing w:before="60"/>
            </w:pPr>
            <w:r>
              <w:rPr>
                <w:rFonts w:ascii="Book Antiqua" w:eastAsia="Book Antiqua" w:hAnsi="Book Antiqua" w:cs="Book Antiqua"/>
                <w:b/>
                <w:bCs/>
                <w:color w:val="E8825A"/>
              </w:rPr>
              <w:t>Consultante</w:t>
            </w:r>
          </w:p>
          <w:p w14:paraId="2124A58A" w14:textId="77777777" w:rsidR="00837CD8" w:rsidRDefault="00B51BA3">
            <w:r>
              <w:rPr>
                <w:rFonts w:ascii="Book Antiqua" w:eastAsia="Book Antiqua" w:hAnsi="Book Antiqua" w:cs="Book Antiqua"/>
                <w:i/>
                <w:iCs/>
                <w:color w:val="2C2C2C"/>
                <w:sz w:val="19"/>
                <w:szCs w:val="19"/>
              </w:rPr>
              <w:t>Lola, lycéenne — réticente en début de séance, de plus en plus à l’écoute au fil de l’entretien</w:t>
            </w:r>
          </w:p>
        </w:tc>
      </w:tr>
    </w:tbl>
    <w:p w14:paraId="1CEFD1ED" w14:textId="77777777" w:rsidR="00837CD8" w:rsidRDefault="00837CD8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37CD8" w14:paraId="5CBE7B2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825A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3755417F" w14:textId="77777777" w:rsidR="00837CD8" w:rsidRDefault="00B51BA3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6"/>
                <w:szCs w:val="26"/>
              </w:rPr>
              <w:t xml:space="preserve">1. AVANT LA SÉANCE — Les </w:t>
            </w:r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6"/>
                <w:szCs w:val="26"/>
              </w:rPr>
              <w:t>prérequis</w:t>
            </w:r>
            <w:proofErr w:type="spellEnd"/>
          </w:p>
        </w:tc>
      </w:tr>
    </w:tbl>
    <w:p w14:paraId="12877517" w14:textId="77777777" w:rsidR="00837CD8" w:rsidRDefault="00837CD8">
      <w:pPr>
        <w:spacing w:after="24"/>
      </w:pPr>
    </w:p>
    <w:p w14:paraId="71A3B8BD" w14:textId="77777777" w:rsidR="00837CD8" w:rsidRDefault="00B51BA3">
      <w:pPr>
        <w:pBdr>
          <w:bottom w:val="single" w:sz="4" w:space="0" w:color="E8825A"/>
        </w:pBdr>
        <w:spacing w:before="260" w:after="80"/>
      </w:pPr>
      <w:r>
        <w:rPr>
          <w:rFonts w:ascii="Book Antiqua" w:eastAsia="Book Antiqua" w:hAnsi="Book Antiqua" w:cs="Book Antiqua"/>
          <w:b/>
          <w:bCs/>
          <w:color w:val="1F3864"/>
          <w:sz w:val="24"/>
          <w:szCs w:val="24"/>
        </w:rPr>
        <w:t>Le questionnaire préalable</w:t>
      </w:r>
    </w:p>
    <w:p w14:paraId="30F30C25" w14:textId="77777777" w:rsidR="00837CD8" w:rsidRDefault="00B51BA3">
      <w:pPr>
        <w:spacing w:before="60" w:after="60"/>
      </w:pPr>
      <w:r>
        <w:rPr>
          <w:rFonts w:ascii="Book Antiqua" w:eastAsia="Book Antiqua" w:hAnsi="Book Antiqua" w:cs="Book Antiqua"/>
          <w:b/>
          <w:bCs/>
          <w:color w:val="2C2C2C"/>
        </w:rPr>
        <w:t>Envoyé au consultant AVANT la séance, il doit couvrir :</w:t>
      </w:r>
    </w:p>
    <w:p w14:paraId="7725A70D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Antécédents personnels</w:t>
      </w:r>
    </w:p>
    <w:p w14:paraId="7A86A617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Traitements en cours et compléments alimentaires</w:t>
      </w:r>
    </w:p>
    <w:p w14:paraId="1A9EB0AD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Système digestif : troubles, fréquence des selles…</w:t>
      </w:r>
    </w:p>
    <w:p w14:paraId="54EC9B1D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Immunité : allergies, intolérances, infections répétées…</w:t>
      </w:r>
    </w:p>
    <w:p w14:paraId="14077F34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Équilibre hormonal : cycles menstruels, ménopause, pathologies…</w:t>
      </w:r>
    </w:p>
    <w:p w14:paraId="7EA7B54B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Habitudes alimentaires : journée type</w:t>
      </w:r>
    </w:p>
    <w:p w14:paraId="02E3026C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Comptes-rendus médicaux et analyses biologiques éventuels</w:t>
      </w:r>
    </w:p>
    <w:p w14:paraId="59E0AC98" w14:textId="77777777" w:rsidR="00837CD8" w:rsidRDefault="00837CD8">
      <w:pPr>
        <w:spacing w:after="24"/>
      </w:pPr>
    </w:p>
    <w:p w14:paraId="1B4A2860" w14:textId="77777777" w:rsidR="00837CD8" w:rsidRDefault="00B51BA3">
      <w:pPr>
        <w:pBdr>
          <w:bottom w:val="single" w:sz="4" w:space="0" w:color="E8825A"/>
        </w:pBdr>
        <w:spacing w:before="260" w:after="80"/>
      </w:pPr>
      <w:r>
        <w:rPr>
          <w:rFonts w:ascii="Book Antiqua" w:eastAsia="Book Antiqua" w:hAnsi="Book Antiqua" w:cs="Book Antiqua"/>
          <w:b/>
          <w:bCs/>
          <w:color w:val="1F3864"/>
          <w:sz w:val="24"/>
          <w:szCs w:val="24"/>
        </w:rPr>
        <w:t>Introduire la séance (5 min)</w:t>
      </w:r>
    </w:p>
    <w:p w14:paraId="06FBBD9A" w14:textId="77777777" w:rsidR="00837CD8" w:rsidRDefault="00B51BA3">
      <w:pPr>
        <w:spacing w:before="60" w:after="60"/>
      </w:pPr>
      <w:r>
        <w:rPr>
          <w:rFonts w:ascii="Book Antiqua" w:eastAsia="Book Antiqua" w:hAnsi="Book Antiqua" w:cs="Book Antiqua"/>
          <w:i/>
          <w:iCs/>
          <w:color w:val="2C2C2C"/>
        </w:rPr>
        <w:t>Un tour d’horizon rapide permet de « cerner » le consultant avant d’entrer dans le vif :</w:t>
      </w:r>
    </w:p>
    <w:p w14:paraId="02A55E71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Accueil bienveillant — instaurer un climat de sécurité</w:t>
      </w:r>
    </w:p>
    <w:p w14:paraId="1D24CFF2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Recueil des informations administratives : lieu de vie, situation familiale, profession…</w:t>
      </w:r>
    </w:p>
    <w:p w14:paraId="284A47EA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Sport, activités, loisirs, sédentarité — souvent un bon point d’entrée pour parler de l’exutoire</w:t>
      </w:r>
    </w:p>
    <w:p w14:paraId="44B5B40C" w14:textId="77777777" w:rsidR="00837CD8" w:rsidRDefault="00837CD8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37CD8" w14:paraId="030E9BE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825A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09C91A9C" w14:textId="77777777" w:rsidR="00837CD8" w:rsidRDefault="00B51BA3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6"/>
                <w:szCs w:val="26"/>
              </w:rPr>
              <w:t xml:space="preserve">2. LES </w:t>
            </w:r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6"/>
                <w:szCs w:val="26"/>
              </w:rPr>
              <w:t>PRÉREQUIS</w:t>
            </w:r>
            <w:proofErr w:type="spellEnd"/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6"/>
                <w:szCs w:val="26"/>
              </w:rPr>
              <w:t xml:space="preserve"> AU BON DÉROULEMENT</w:t>
            </w:r>
          </w:p>
        </w:tc>
      </w:tr>
    </w:tbl>
    <w:p w14:paraId="627ECBF8" w14:textId="77777777" w:rsidR="00837CD8" w:rsidRDefault="00837CD8">
      <w:pPr>
        <w:spacing w:after="24"/>
      </w:pPr>
    </w:p>
    <w:p w14:paraId="3563E301" w14:textId="77777777" w:rsidR="00837CD8" w:rsidRDefault="00B51BA3">
      <w:pPr>
        <w:pBdr>
          <w:bottom w:val="single" w:sz="4" w:space="0" w:color="E8825A"/>
        </w:pBdr>
        <w:spacing w:before="260" w:after="80"/>
      </w:pPr>
      <w:r>
        <w:rPr>
          <w:rFonts w:ascii="Book Antiqua" w:eastAsia="Book Antiqua" w:hAnsi="Book Antiqua" w:cs="Book Antiqua"/>
          <w:b/>
          <w:bCs/>
          <w:color w:val="1F3864"/>
          <w:sz w:val="24"/>
          <w:szCs w:val="24"/>
        </w:rPr>
        <w:t>Le profil du consultant : Lola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56"/>
        <w:gridCol w:w="6604"/>
      </w:tblGrid>
      <w:tr w:rsidR="00837CD8" w14:paraId="726ED57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87C26" w14:textId="77777777" w:rsidR="00837CD8" w:rsidRDefault="00B51BA3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>Caractéristique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F8F06" w14:textId="77777777" w:rsidR="00837CD8" w:rsidRDefault="00B51BA3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Observation</w:t>
            </w:r>
          </w:p>
        </w:tc>
      </w:tr>
      <w:tr w:rsidR="00837CD8" w14:paraId="4471BFF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0DD00" w14:textId="77777777" w:rsidR="00837CD8" w:rsidRDefault="00B51BA3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Statut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B1281" w14:textId="77777777" w:rsidR="00837CD8" w:rsidRDefault="00B51BA3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Lycéenne</w:t>
            </w:r>
          </w:p>
        </w:tc>
      </w:tr>
      <w:tr w:rsidR="00837CD8" w14:paraId="70F8DAC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E7684" w14:textId="77777777" w:rsidR="00837CD8" w:rsidRDefault="00B51BA3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Attitude initiale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59599" w14:textId="77777777" w:rsidR="00837CD8" w:rsidRDefault="00B51BA3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Réticente, nonchalante — venue pour contenter sa mère</w:t>
            </w:r>
          </w:p>
        </w:tc>
      </w:tr>
      <w:tr w:rsidR="00837CD8" w14:paraId="496120C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E2072" w14:textId="77777777" w:rsidR="00837CD8" w:rsidRDefault="00B51BA3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Évolution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F7D91" w14:textId="77777777" w:rsidR="00837CD8" w:rsidRDefault="00B51BA3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De plus en plus à l’écoute au fil de la séance</w:t>
            </w:r>
          </w:p>
        </w:tc>
      </w:tr>
      <w:tr w:rsidR="00837CD8" w14:paraId="4054DEA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465B7" w14:textId="77777777" w:rsidR="00837CD8" w:rsidRDefault="00B51BA3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Relation au praticien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EE005" w14:textId="77777777" w:rsidR="00837CD8" w:rsidRDefault="00B51BA3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Tutoiement à sa demande</w:t>
            </w:r>
          </w:p>
        </w:tc>
      </w:tr>
    </w:tbl>
    <w:p w14:paraId="12EFA243" w14:textId="77777777" w:rsidR="00837CD8" w:rsidRDefault="00837CD8">
      <w:pPr>
        <w:spacing w:after="24"/>
      </w:pPr>
    </w:p>
    <w:p w14:paraId="52C65E42" w14:textId="77777777" w:rsidR="000953A1" w:rsidRDefault="000953A1">
      <w:pPr>
        <w:spacing w:after="24"/>
      </w:pPr>
    </w:p>
    <w:p w14:paraId="670CCA4D" w14:textId="77777777" w:rsidR="000953A1" w:rsidRDefault="000953A1">
      <w:pPr>
        <w:spacing w:after="24"/>
      </w:pPr>
    </w:p>
    <w:p w14:paraId="0E30B125" w14:textId="77777777" w:rsidR="00837CD8" w:rsidRDefault="00B51BA3">
      <w:pPr>
        <w:pBdr>
          <w:bottom w:val="single" w:sz="4" w:space="0" w:color="E8825A"/>
        </w:pBdr>
        <w:spacing w:before="260" w:after="80"/>
      </w:pPr>
      <w:r>
        <w:rPr>
          <w:rFonts w:ascii="Book Antiqua" w:eastAsia="Book Antiqua" w:hAnsi="Book Antiqua" w:cs="Book Antiqua"/>
          <w:b/>
          <w:bCs/>
          <w:color w:val="1F3864"/>
          <w:sz w:val="24"/>
          <w:szCs w:val="24"/>
        </w:rPr>
        <w:lastRenderedPageBreak/>
        <w:t>La posture du praticien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7"/>
        <w:gridCol w:w="7233"/>
      </w:tblGrid>
      <w:tr w:rsidR="00837CD8" w14:paraId="5BC05F4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892E2" w14:textId="77777777" w:rsidR="00837CD8" w:rsidRDefault="00B51BA3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>Principe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7DC04" w14:textId="77777777" w:rsidR="00837CD8" w:rsidRDefault="00B51BA3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Application</w:t>
            </w:r>
          </w:p>
        </w:tc>
      </w:tr>
      <w:tr w:rsidR="00837CD8" w14:paraId="7A32B02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491EA" w14:textId="77777777" w:rsidR="00837CD8" w:rsidRDefault="00B51BA3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S’adapter au consultant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EBDC2" w14:textId="4196488F" w:rsidR="00837CD8" w:rsidRDefault="00B51BA3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Séance pédagogique tendant vers la « négociation »</w:t>
            </w:r>
            <w:r w:rsidR="00E21984"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 xml:space="preserve"> vulgarisée permet de rendre plus accessible</w:t>
            </w:r>
            <w:r w:rsidR="00990BA7"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.</w:t>
            </w:r>
          </w:p>
        </w:tc>
      </w:tr>
      <w:tr w:rsidR="00837CD8" w14:paraId="2695E08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C27E1" w14:textId="77777777" w:rsidR="00837CD8" w:rsidRDefault="00B51BA3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Ton à éviter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28B46" w14:textId="77777777" w:rsidR="00837CD8" w:rsidRDefault="00B51BA3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Ton trop maternant ou professoral</w:t>
            </w:r>
          </w:p>
        </w:tc>
      </w:tr>
      <w:tr w:rsidR="00837CD8" w14:paraId="41363EB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3B505" w14:textId="77777777" w:rsidR="00837CD8" w:rsidRDefault="00B51BA3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 xml:space="preserve">Définir la </w:t>
            </w:r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naturopathie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6511" w14:textId="77777777" w:rsidR="00837CD8" w:rsidRDefault="00B51BA3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 xml:space="preserve">Approche </w:t>
            </w:r>
            <w:proofErr w:type="spellStart"/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holistique</w:t>
            </w:r>
            <w:proofErr w:type="spellEnd"/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, complémentaire, préventive — « la cause de la cause »</w:t>
            </w:r>
          </w:p>
        </w:tc>
      </w:tr>
      <w:tr w:rsidR="00837CD8" w14:paraId="48C7440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141A8" w14:textId="77777777" w:rsidR="00837CD8" w:rsidRDefault="00B51BA3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Transmettre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0ACF1" w14:textId="77777777" w:rsidR="00837CD8" w:rsidRDefault="00B51BA3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Être pédagogue, illustrer ses propos, répondre aux questions</w:t>
            </w:r>
          </w:p>
        </w:tc>
      </w:tr>
      <w:tr w:rsidR="00837CD8" w14:paraId="3B3E9C6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9E6BC" w14:textId="77777777" w:rsidR="00837CD8" w:rsidRDefault="00B51BA3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Relation de confiance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58F7E" w14:textId="77777777" w:rsidR="00837CD8" w:rsidRDefault="00B51BA3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S’adapter au rythme et au langage du consultant</w:t>
            </w:r>
          </w:p>
        </w:tc>
      </w:tr>
    </w:tbl>
    <w:p w14:paraId="6C030E21" w14:textId="77777777" w:rsidR="00837CD8" w:rsidRDefault="00837CD8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37CD8" w14:paraId="1CC82B6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825A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4C420BB6" w14:textId="77777777" w:rsidR="00837CD8" w:rsidRDefault="00B51BA3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6"/>
                <w:szCs w:val="26"/>
              </w:rPr>
              <w:t>3. LE MOTIF</w:t>
            </w:r>
          </w:p>
        </w:tc>
      </w:tr>
    </w:tbl>
    <w:p w14:paraId="46359935" w14:textId="77777777" w:rsidR="00837CD8" w:rsidRDefault="00837CD8">
      <w:pPr>
        <w:spacing w:after="24"/>
      </w:pPr>
    </w:p>
    <w:p w14:paraId="11436617" w14:textId="77777777" w:rsidR="00837CD8" w:rsidRDefault="00B51BA3">
      <w:pPr>
        <w:pBdr>
          <w:bottom w:val="single" w:sz="4" w:space="0" w:color="E8825A"/>
        </w:pBdr>
        <w:spacing w:before="260" w:after="80"/>
      </w:pPr>
      <w:r>
        <w:rPr>
          <w:rFonts w:ascii="Book Antiqua" w:eastAsia="Book Antiqua" w:hAnsi="Book Antiqua" w:cs="Book Antiqua"/>
          <w:b/>
          <w:bCs/>
          <w:color w:val="1F3864"/>
          <w:sz w:val="24"/>
          <w:szCs w:val="24"/>
        </w:rPr>
        <w:t>Identifier et comprendre le motif réel</w:t>
      </w:r>
    </w:p>
    <w:p w14:paraId="61B0400B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Bien saisir le motif exprimé vs le motif sous-jacent</w:t>
      </w:r>
    </w:p>
    <w:p w14:paraId="4195CEF9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Lola souhaitait à tout prix se débarrasser de son acné — envisageait la pilule comme solution rapide</w:t>
      </w:r>
    </w:p>
    <w:p w14:paraId="2B31EC4B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Sa mère a insisté pour la consultation : explorer la motivation réelle du consultant</w:t>
      </w:r>
    </w:p>
    <w:p w14:paraId="3542B7D0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Comprendre le contexte : depuis quand, déclencheur identifié, qu’a-t-elle observé elle-même ?</w:t>
      </w:r>
    </w:p>
    <w:p w14:paraId="5B9273BD" w14:textId="77777777" w:rsidR="00837CD8" w:rsidRDefault="00837CD8">
      <w:pPr>
        <w:spacing w:after="24"/>
      </w:pPr>
    </w:p>
    <w:p w14:paraId="1C6EF6F3" w14:textId="77777777" w:rsidR="00837CD8" w:rsidRDefault="00B51BA3">
      <w:pPr>
        <w:pBdr>
          <w:bottom w:val="single" w:sz="4" w:space="0" w:color="E8825A"/>
        </w:pBdr>
        <w:spacing w:before="260" w:after="80"/>
      </w:pPr>
      <w:r>
        <w:rPr>
          <w:rFonts w:ascii="Book Antiqua" w:eastAsia="Book Antiqua" w:hAnsi="Book Antiqua" w:cs="Book Antiqua"/>
          <w:b/>
          <w:bCs/>
          <w:color w:val="1F3864"/>
          <w:sz w:val="24"/>
          <w:szCs w:val="24"/>
        </w:rPr>
        <w:t>Types d’acné identifiés chez Lola</w:t>
      </w:r>
    </w:p>
    <w:p w14:paraId="68048139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Acné hormonale (cycles irréguliers, SPM, dominance androgènes)</w:t>
      </w:r>
    </w:p>
    <w:p w14:paraId="0FDE4359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Acné liée à l’hygiène de vie, à l’alimentation et à la digestion</w:t>
      </w:r>
    </w:p>
    <w:p w14:paraId="5CCA666D" w14:textId="77777777" w:rsidR="00837CD8" w:rsidRDefault="00837CD8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37CD8" w14:paraId="2E45683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825A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5BC84D2C" w14:textId="77777777" w:rsidR="00837CD8" w:rsidRDefault="00B51BA3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6"/>
                <w:szCs w:val="26"/>
              </w:rPr>
              <w:t>4. LE DÉROULÉ DE LA SÉANCE</w:t>
            </w:r>
          </w:p>
        </w:tc>
      </w:tr>
    </w:tbl>
    <w:p w14:paraId="37BB56DA" w14:textId="77777777" w:rsidR="00837CD8" w:rsidRDefault="00837CD8">
      <w:pPr>
        <w:spacing w:after="24"/>
      </w:pPr>
    </w:p>
    <w:p w14:paraId="28FFB95F" w14:textId="77777777" w:rsidR="00837CD8" w:rsidRDefault="00B51BA3">
      <w:pPr>
        <w:pBdr>
          <w:bottom w:val="single" w:sz="4" w:space="0" w:color="E8825A"/>
        </w:pBdr>
        <w:spacing w:before="260" w:after="80"/>
      </w:pPr>
      <w:r>
        <w:rPr>
          <w:rFonts w:ascii="Book Antiqua" w:eastAsia="Book Antiqua" w:hAnsi="Book Antiqua" w:cs="Book Antiqua"/>
          <w:b/>
          <w:bCs/>
          <w:color w:val="1F3864"/>
          <w:sz w:val="24"/>
          <w:szCs w:val="24"/>
        </w:rPr>
        <w:t>Principes de conduite de l’entretien</w:t>
      </w:r>
    </w:p>
    <w:p w14:paraId="7577329F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Organiser sa pensée : prioriser les axes selon le motif</w:t>
      </w:r>
    </w:p>
    <w:p w14:paraId="78DDF80B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Impliquer le consultant : « être acteur de sa santé »</w:t>
      </w:r>
    </w:p>
    <w:p w14:paraId="7681A89E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Interroger le terrain et les antécédents pour faire des liens causaux</w:t>
      </w:r>
    </w:p>
    <w:p w14:paraId="672EA185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Garder le motif comme fil conducteur tout au long de la séance</w:t>
      </w:r>
    </w:p>
    <w:p w14:paraId="02F7495B" w14:textId="77777777" w:rsidR="00837CD8" w:rsidRDefault="00B51BA3">
      <w:pPr>
        <w:pStyle w:val="Paragraphedeliste"/>
        <w:numPr>
          <w:ilvl w:val="0"/>
          <w:numId w:val="3"/>
        </w:numPr>
        <w:spacing w:before="20" w:after="20"/>
      </w:pPr>
      <w:r>
        <w:rPr>
          <w:rFonts w:ascii="Book Antiqua" w:eastAsia="Book Antiqua" w:hAnsi="Book Antiqua" w:cs="Book Antiqua"/>
          <w:color w:val="444444"/>
          <w:sz w:val="19"/>
          <w:szCs w:val="19"/>
        </w:rPr>
        <w:t>Lien alimentation → digestion → acné</w:t>
      </w:r>
    </w:p>
    <w:p w14:paraId="63C5D9F5" w14:textId="77777777" w:rsidR="00837CD8" w:rsidRDefault="00B51BA3">
      <w:pPr>
        <w:pStyle w:val="Paragraphedeliste"/>
        <w:numPr>
          <w:ilvl w:val="0"/>
          <w:numId w:val="3"/>
        </w:numPr>
        <w:spacing w:before="20" w:after="20"/>
      </w:pPr>
      <w:r>
        <w:rPr>
          <w:rFonts w:ascii="Book Antiqua" w:eastAsia="Book Antiqua" w:hAnsi="Book Antiqua" w:cs="Book Antiqua"/>
          <w:color w:val="444444"/>
          <w:sz w:val="19"/>
          <w:szCs w:val="19"/>
        </w:rPr>
        <w:t>Lien équilibre hormonal → acné</w:t>
      </w:r>
    </w:p>
    <w:p w14:paraId="38478B29" w14:textId="77777777" w:rsidR="00837CD8" w:rsidRDefault="00837CD8">
      <w:pPr>
        <w:spacing w:after="24"/>
      </w:pPr>
    </w:p>
    <w:p w14:paraId="2BB277BE" w14:textId="77777777" w:rsidR="00837CD8" w:rsidRDefault="00B51BA3">
      <w:pPr>
        <w:pBdr>
          <w:bottom w:val="single" w:sz="4" w:space="0" w:color="E8825A"/>
        </w:pBdr>
        <w:spacing w:before="260" w:after="80"/>
      </w:pPr>
      <w:r>
        <w:rPr>
          <w:rFonts w:ascii="Book Antiqua" w:eastAsia="Book Antiqua" w:hAnsi="Book Antiqua" w:cs="Book Antiqua"/>
          <w:b/>
          <w:bCs/>
          <w:color w:val="1F3864"/>
          <w:sz w:val="24"/>
          <w:szCs w:val="24"/>
        </w:rPr>
        <w:t>Ce que l’on a recueilli sur Lola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9"/>
        <w:gridCol w:w="4625"/>
        <w:gridCol w:w="3146"/>
      </w:tblGrid>
      <w:tr w:rsidR="00837CD8" w14:paraId="40E32B9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87150" w14:textId="77777777" w:rsidR="00837CD8" w:rsidRDefault="00B51BA3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>Système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FFA3A" w14:textId="77777777" w:rsidR="00837CD8" w:rsidRDefault="00B51BA3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Symptômes / Faits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F8021" w14:textId="77777777" w:rsidR="00837CD8" w:rsidRDefault="00B51BA3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Points clés</w:t>
            </w:r>
          </w:p>
        </w:tc>
      </w:tr>
      <w:tr w:rsidR="00837CD8" w14:paraId="2FBDC21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CCD4C" w14:textId="77777777" w:rsidR="00837CD8" w:rsidRDefault="00B51BA3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Digestif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CBD58" w14:textId="77777777" w:rsidR="00837CD8" w:rsidRDefault="00B51BA3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Constipation + ballonnements (2 ans), douleurs intestinales, gaz, fatigue post-prandiale, plénitude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89F8E" w14:textId="77777777" w:rsidR="00837CD8" w:rsidRDefault="00B51BA3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Perméabilité intestinale probable → inflammation systémique</w:t>
            </w:r>
          </w:p>
        </w:tc>
      </w:tr>
      <w:tr w:rsidR="00837CD8" w14:paraId="21A257B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C7681" w14:textId="77777777" w:rsidR="00837CD8" w:rsidRDefault="00B51BA3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Hormonal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AED88" w14:textId="77777777" w:rsidR="00837CD8" w:rsidRDefault="00B51BA3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1ères règles à 13 ans, cycles irréguliers (30–90 j), SPM : maux de ventre + tensions mammaires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75CDD" w14:textId="77777777" w:rsidR="00837CD8" w:rsidRDefault="00B51BA3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Déséquilibre oestrogènes / androgènes</w:t>
            </w:r>
          </w:p>
        </w:tc>
      </w:tr>
      <w:tr w:rsidR="00837CD8" w14:paraId="33E8258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AC6C3" w14:textId="77777777" w:rsidR="00837CD8" w:rsidRDefault="00B51BA3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lastRenderedPageBreak/>
              <w:t>Nerveux &amp; énergie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82025" w14:textId="77777777" w:rsidR="00837CD8" w:rsidRDefault="00B51BA3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Epuisée, réveil difficile, hypoglycémie réactionnelle, coucher 00h – lever 6h30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62EA4" w14:textId="77777777" w:rsidR="00837CD8" w:rsidRDefault="00B51BA3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Déficit de sommeil, corrélation sucre-fatigue</w:t>
            </w:r>
          </w:p>
        </w:tc>
      </w:tr>
      <w:tr w:rsidR="00837CD8" w14:paraId="4B93B44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40DEB" w14:textId="77777777" w:rsidR="00837CD8" w:rsidRDefault="00B51BA3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Peau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6EFD4" w14:textId="77777777" w:rsidR="00837CD8" w:rsidRDefault="00B51BA3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 xml:space="preserve">Acné inflammatoire (joues, mâchoire, menton, tempes, zone T), peau grasse, eczéma, maquillage </w:t>
            </w:r>
            <w:proofErr w:type="spellStart"/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comédogène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B4A71" w14:textId="77777777" w:rsidR="00837CD8" w:rsidRDefault="00B51BA3">
            <w:proofErr w:type="spellStart"/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Dysbiose</w:t>
            </w:r>
            <w:proofErr w:type="spellEnd"/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 xml:space="preserve"> cutanée, peau asphyxiée</w:t>
            </w:r>
          </w:p>
        </w:tc>
      </w:tr>
      <w:tr w:rsidR="00837CD8" w14:paraId="28ADB80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70E55" w14:textId="77777777" w:rsidR="00837CD8" w:rsidRDefault="00B51BA3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Alimentation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DC238" w14:textId="77777777" w:rsidR="00837CD8" w:rsidRDefault="00B51BA3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Pas de petit déjeuner, sucres +++, 0 légumes, 0 omégas 3, hydratation insuffisante (4 verres/j)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0DB66" w14:textId="77777777" w:rsidR="00837CD8" w:rsidRDefault="00B51BA3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 xml:space="preserve">Hyperglycémie chronique, déficits en </w:t>
            </w:r>
            <w:proofErr w:type="spellStart"/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micronutriments</w:t>
            </w:r>
            <w:proofErr w:type="spellEnd"/>
          </w:p>
        </w:tc>
      </w:tr>
    </w:tbl>
    <w:p w14:paraId="2B7A2543" w14:textId="77777777" w:rsidR="00837CD8" w:rsidRDefault="00837CD8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37CD8" w14:paraId="3EBD4DB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825A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07F435B6" w14:textId="77777777" w:rsidR="00837CD8" w:rsidRDefault="00B51BA3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6"/>
                <w:szCs w:val="26"/>
              </w:rPr>
              <w:t>5. LES CAUSES DE L’ACNÉ</w:t>
            </w:r>
          </w:p>
        </w:tc>
      </w:tr>
    </w:tbl>
    <w:p w14:paraId="7F5AA9E9" w14:textId="77777777" w:rsidR="00837CD8" w:rsidRDefault="00837CD8">
      <w:pPr>
        <w:spacing w:after="24"/>
      </w:pPr>
    </w:p>
    <w:p w14:paraId="54354056" w14:textId="77777777" w:rsidR="00837CD8" w:rsidRDefault="00B51BA3">
      <w:pPr>
        <w:pBdr>
          <w:bottom w:val="single" w:sz="4" w:space="0" w:color="E8825A"/>
        </w:pBdr>
        <w:spacing w:before="260" w:after="80"/>
      </w:pPr>
      <w:r>
        <w:rPr>
          <w:rFonts w:ascii="Book Antiqua" w:eastAsia="Book Antiqua" w:hAnsi="Book Antiqua" w:cs="Book Antiqua"/>
          <w:b/>
          <w:bCs/>
          <w:color w:val="1F3864"/>
          <w:sz w:val="24"/>
          <w:szCs w:val="24"/>
        </w:rPr>
        <w:t>Mécanismes physiopathologiques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4"/>
        <w:gridCol w:w="6996"/>
      </w:tblGrid>
      <w:tr w:rsidR="00837CD8" w14:paraId="72BF78D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20447" w14:textId="77777777" w:rsidR="00837CD8" w:rsidRDefault="00B51BA3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>Étape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AD3E2" w14:textId="77777777" w:rsidR="00837CD8" w:rsidRDefault="00B51BA3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Mécanisme</w:t>
            </w:r>
          </w:p>
        </w:tc>
      </w:tr>
      <w:tr w:rsidR="00837CD8" w14:paraId="06270E3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CA88D" w14:textId="77777777" w:rsidR="00837CD8" w:rsidRDefault="00B51BA3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1. Hypersécrétion de sébum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B0336" w14:textId="77777777" w:rsidR="00837CD8" w:rsidRDefault="00B51BA3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 xml:space="preserve">Dominance androgènes (DHT via </w:t>
            </w:r>
            <w:proofErr w:type="spellStart"/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5-alpha-réductase</w:t>
            </w:r>
            <w:proofErr w:type="spellEnd"/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 xml:space="preserve">) + IGF-1 (adolescence) → activation des </w:t>
            </w:r>
            <w:proofErr w:type="spellStart"/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sébocytes</w:t>
            </w:r>
            <w:proofErr w:type="spellEnd"/>
          </w:p>
        </w:tc>
      </w:tr>
      <w:tr w:rsidR="00837CD8" w14:paraId="65EEED7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99838" w14:textId="77777777" w:rsidR="00837CD8" w:rsidRDefault="00B51BA3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2. Formation des comédons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16B52" w14:textId="77777777" w:rsidR="00837CD8" w:rsidRDefault="00B51BA3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Accumulation sébum + kératine → obstruction folliculaire</w:t>
            </w:r>
          </w:p>
        </w:tc>
      </w:tr>
      <w:tr w:rsidR="00837CD8" w14:paraId="2288B79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A10A2" w14:textId="77777777" w:rsidR="00837CD8" w:rsidRDefault="00B51BA3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 xml:space="preserve">3. </w:t>
            </w:r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Dysbiose</w:t>
            </w:r>
            <w:proofErr w:type="spellEnd"/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 xml:space="preserve"> cutanée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CD51D" w14:textId="77777777" w:rsidR="00837CD8" w:rsidRDefault="00B51BA3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 xml:space="preserve">Prolifération </w:t>
            </w:r>
            <w:proofErr w:type="spellStart"/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Propionibacterium</w:t>
            </w:r>
            <w:proofErr w:type="spellEnd"/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acnes</w:t>
            </w:r>
            <w:proofErr w:type="spellEnd"/>
          </w:p>
        </w:tc>
      </w:tr>
      <w:tr w:rsidR="00837CD8" w14:paraId="67166E6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6FD14" w14:textId="77777777" w:rsidR="00837CD8" w:rsidRDefault="00B51BA3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4. Inflammation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7EC71" w14:textId="77777777" w:rsidR="00837CD8" w:rsidRDefault="00B51BA3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Réponse immunitaire locale → lésions inflammatoires</w:t>
            </w:r>
          </w:p>
        </w:tc>
      </w:tr>
    </w:tbl>
    <w:p w14:paraId="6296974C" w14:textId="77777777" w:rsidR="00837CD8" w:rsidRDefault="00837CD8">
      <w:pPr>
        <w:spacing w:after="24"/>
      </w:pPr>
    </w:p>
    <w:p w14:paraId="463720B1" w14:textId="77777777" w:rsidR="00837CD8" w:rsidRDefault="00B51BA3">
      <w:pPr>
        <w:pBdr>
          <w:bottom w:val="single" w:sz="4" w:space="0" w:color="E8825A"/>
        </w:pBdr>
        <w:spacing w:before="260" w:after="80"/>
      </w:pPr>
      <w:r>
        <w:rPr>
          <w:rFonts w:ascii="Book Antiqua" w:eastAsia="Book Antiqua" w:hAnsi="Book Antiqua" w:cs="Book Antiqua"/>
          <w:b/>
          <w:bCs/>
          <w:color w:val="1F3864"/>
          <w:sz w:val="24"/>
          <w:szCs w:val="24"/>
        </w:rPr>
        <w:t>Les 4 axes étiologiques à explorer</w:t>
      </w:r>
    </w:p>
    <w:p w14:paraId="4BEDF739" w14:textId="77777777" w:rsidR="00837CD8" w:rsidRDefault="00837CD8">
      <w:pPr>
        <w:spacing w:after="16"/>
      </w:pPr>
    </w:p>
    <w:p w14:paraId="03322625" w14:textId="77777777" w:rsidR="00837CD8" w:rsidRDefault="00B51BA3">
      <w:pPr>
        <w:spacing w:before="240" w:after="80"/>
      </w:pPr>
      <w:r>
        <w:rPr>
          <w:rFonts w:ascii="Book Antiqua" w:eastAsia="Book Antiqua" w:hAnsi="Book Antiqua" w:cs="Book Antiqua"/>
          <w:b/>
          <w:bCs/>
          <w:color w:val="E8825A"/>
          <w:sz w:val="26"/>
          <w:szCs w:val="26"/>
        </w:rPr>
        <w:t>Acné &amp; Digestion</w:t>
      </w:r>
    </w:p>
    <w:p w14:paraId="35EE0427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Perméabilité intestinale → inflammation globale → toxines et bactéries qui transitent jusqu’à la peau</w:t>
      </w:r>
    </w:p>
    <w:p w14:paraId="0722142E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 xml:space="preserve">Déséquilibre du </w:t>
      </w:r>
      <w:proofErr w:type="spellStart"/>
      <w:r>
        <w:rPr>
          <w:rFonts w:ascii="Book Antiqua" w:eastAsia="Book Antiqua" w:hAnsi="Book Antiqua" w:cs="Book Antiqua"/>
          <w:color w:val="2C2C2C"/>
        </w:rPr>
        <w:t>microbiote</w:t>
      </w:r>
      <w:proofErr w:type="spellEnd"/>
      <w:r>
        <w:rPr>
          <w:rFonts w:ascii="Book Antiqua" w:eastAsia="Book Antiqua" w:hAnsi="Book Antiqua" w:cs="Book Antiqua"/>
          <w:color w:val="2C2C2C"/>
        </w:rPr>
        <w:t xml:space="preserve"> intestinal en lien direct avec la gravité de l’acné</w:t>
      </w:r>
    </w:p>
    <w:p w14:paraId="416CE22E" w14:textId="77777777" w:rsidR="00837CD8" w:rsidRDefault="00B51BA3">
      <w:pPr>
        <w:pStyle w:val="Paragraphedeliste"/>
        <w:numPr>
          <w:ilvl w:val="0"/>
          <w:numId w:val="3"/>
        </w:numPr>
        <w:spacing w:before="20" w:after="20"/>
      </w:pPr>
      <w:r>
        <w:rPr>
          <w:rFonts w:ascii="Book Antiqua" w:eastAsia="Book Antiqua" w:hAnsi="Book Antiqua" w:cs="Book Antiqua"/>
          <w:color w:val="444444"/>
          <w:sz w:val="19"/>
          <w:szCs w:val="19"/>
        </w:rPr>
        <w:t xml:space="preserve">Inflammation systémique, stress </w:t>
      </w:r>
      <w:proofErr w:type="spellStart"/>
      <w:r>
        <w:rPr>
          <w:rFonts w:ascii="Book Antiqua" w:eastAsia="Book Antiqua" w:hAnsi="Book Antiqua" w:cs="Book Antiqua"/>
          <w:color w:val="444444"/>
          <w:sz w:val="19"/>
          <w:szCs w:val="19"/>
        </w:rPr>
        <w:t>oxydatif</w:t>
      </w:r>
      <w:proofErr w:type="spellEnd"/>
      <w:r>
        <w:rPr>
          <w:rFonts w:ascii="Book Antiqua" w:eastAsia="Book Antiqua" w:hAnsi="Book Antiqua" w:cs="Book Antiqua"/>
          <w:color w:val="444444"/>
          <w:sz w:val="19"/>
          <w:szCs w:val="19"/>
        </w:rPr>
        <w:t xml:space="preserve">, contrôle </w:t>
      </w:r>
      <w:proofErr w:type="spellStart"/>
      <w:r>
        <w:rPr>
          <w:rFonts w:ascii="Book Antiqua" w:eastAsia="Book Antiqua" w:hAnsi="Book Antiqua" w:cs="Book Antiqua"/>
          <w:color w:val="444444"/>
          <w:sz w:val="19"/>
          <w:szCs w:val="19"/>
        </w:rPr>
        <w:t>glycémique</w:t>
      </w:r>
      <w:proofErr w:type="spellEnd"/>
      <w:r>
        <w:rPr>
          <w:rFonts w:ascii="Book Antiqua" w:eastAsia="Book Antiqua" w:hAnsi="Book Antiqua" w:cs="Book Antiqua"/>
          <w:color w:val="444444"/>
          <w:sz w:val="19"/>
          <w:szCs w:val="19"/>
        </w:rPr>
        <w:t xml:space="preserve"> altéré, composition du sébum modifiée</w:t>
      </w:r>
    </w:p>
    <w:p w14:paraId="092DE4C4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Axe intestin-cerveau-peau validé scientifiquement (théories récentes)</w:t>
      </w:r>
    </w:p>
    <w:p w14:paraId="40ADF5D1" w14:textId="77777777" w:rsidR="00837CD8" w:rsidRDefault="00837CD8">
      <w:pPr>
        <w:spacing w:after="16"/>
      </w:pPr>
    </w:p>
    <w:p w14:paraId="6CBC18C2" w14:textId="77777777" w:rsidR="00837CD8" w:rsidRDefault="00B51BA3">
      <w:pPr>
        <w:spacing w:before="240" w:after="80"/>
      </w:pPr>
      <w:r>
        <w:rPr>
          <w:rFonts w:ascii="Book Antiqua" w:eastAsia="Book Antiqua" w:hAnsi="Book Antiqua" w:cs="Book Antiqua"/>
          <w:b/>
          <w:bCs/>
          <w:color w:val="E8825A"/>
          <w:sz w:val="26"/>
          <w:szCs w:val="26"/>
        </w:rPr>
        <w:t>Acné &amp; Alimentation</w:t>
      </w:r>
    </w:p>
    <w:p w14:paraId="070EAF69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Alimentation raffinée (glucides + lipides) et excès de protéines animales : aggrave l’acné</w:t>
      </w:r>
    </w:p>
    <w:p w14:paraId="596BF608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Sucres raffinés → pic insuline → hausse DHT (</w:t>
      </w:r>
      <w:proofErr w:type="spellStart"/>
      <w:r>
        <w:rPr>
          <w:rFonts w:ascii="Book Antiqua" w:eastAsia="Book Antiqua" w:hAnsi="Book Antiqua" w:cs="Book Antiqua"/>
          <w:color w:val="2C2C2C"/>
        </w:rPr>
        <w:t>dihydrotestostérone</w:t>
      </w:r>
      <w:proofErr w:type="spellEnd"/>
      <w:r>
        <w:rPr>
          <w:rFonts w:ascii="Book Antiqua" w:eastAsia="Book Antiqua" w:hAnsi="Book Antiqua" w:cs="Book Antiqua"/>
          <w:color w:val="2C2C2C"/>
        </w:rPr>
        <w:t>) → surproduction de sébum</w:t>
      </w:r>
    </w:p>
    <w:p w14:paraId="1DCA752A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Acides gras saturés et trans : modifient la composition du sébum</w:t>
      </w:r>
    </w:p>
    <w:p w14:paraId="7AFD8114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Manque de fibres, d’omégas 3/6/9 et d’eau</w:t>
      </w:r>
    </w:p>
    <w:p w14:paraId="6A4DDEA3" w14:textId="77777777" w:rsidR="00837CD8" w:rsidRDefault="00837CD8">
      <w:pPr>
        <w:spacing w:after="16"/>
      </w:pPr>
    </w:p>
    <w:p w14:paraId="48631584" w14:textId="77777777" w:rsidR="00837CD8" w:rsidRDefault="00B51BA3">
      <w:pPr>
        <w:spacing w:before="240" w:after="80"/>
      </w:pPr>
      <w:r>
        <w:rPr>
          <w:rFonts w:ascii="Book Antiqua" w:eastAsia="Book Antiqua" w:hAnsi="Book Antiqua" w:cs="Book Antiqua"/>
          <w:b/>
          <w:bCs/>
          <w:color w:val="E8825A"/>
          <w:sz w:val="26"/>
          <w:szCs w:val="26"/>
        </w:rPr>
        <w:t>Acné &amp; Hormones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0"/>
        <w:gridCol w:w="7270"/>
      </w:tblGrid>
      <w:tr w:rsidR="00837CD8" w14:paraId="08D1FA5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82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D3DED" w14:textId="77777777" w:rsidR="00837CD8" w:rsidRDefault="00B51BA3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>Hormone / Facteur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D5FD2" w14:textId="77777777" w:rsidR="00837CD8" w:rsidRDefault="00B51BA3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Rôle dans l’acné</w:t>
            </w:r>
          </w:p>
        </w:tc>
      </w:tr>
      <w:tr w:rsidR="00837CD8" w14:paraId="0E22E20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5C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EC462" w14:textId="77777777" w:rsidR="00837CD8" w:rsidRDefault="00B51BA3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Androgènes (DHT)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0D471" w14:textId="77777777" w:rsidR="00837CD8" w:rsidRDefault="00B51BA3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 xml:space="preserve">Stimulent la synthèse lipidique et la production de sébum via les récepteurs AR des </w:t>
            </w:r>
            <w:proofErr w:type="spellStart"/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sébocytes</w:t>
            </w:r>
            <w:proofErr w:type="spellEnd"/>
          </w:p>
        </w:tc>
      </w:tr>
      <w:tr w:rsidR="00837CD8" w14:paraId="6D301F1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5C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5B41A" w14:textId="77777777" w:rsidR="00837CD8" w:rsidRDefault="00B51BA3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lastRenderedPageBreak/>
              <w:t>Testostérone → DHT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B44ED" w14:textId="77777777" w:rsidR="00837CD8" w:rsidRDefault="00B51BA3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 xml:space="preserve">Métabolisation par la </w:t>
            </w:r>
            <w:proofErr w:type="spellStart"/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5-alpha-réductase</w:t>
            </w:r>
            <w:proofErr w:type="spellEnd"/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 xml:space="preserve"> — les </w:t>
            </w:r>
            <w:proofErr w:type="spellStart"/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sébocytes</w:t>
            </w:r>
            <w:proofErr w:type="spellEnd"/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 xml:space="preserve"> peuvent aussi synthétiser DHT localement</w:t>
            </w:r>
          </w:p>
        </w:tc>
      </w:tr>
      <w:tr w:rsidR="00837CD8" w14:paraId="41B182B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5C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6DF2C" w14:textId="77777777" w:rsidR="00837CD8" w:rsidRDefault="00B51BA3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Oestrogènes (ER-α)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C7F03" w14:textId="77777777" w:rsidR="00837CD8" w:rsidRDefault="00B51BA3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Rôle protecteur : réduisent l’action des androgènes + régulent la croissance des glandes sébacées</w:t>
            </w:r>
          </w:p>
        </w:tc>
      </w:tr>
      <w:tr w:rsidR="00837CD8" w14:paraId="6312FE2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5C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14EAC" w14:textId="77777777" w:rsidR="00837CD8" w:rsidRDefault="00B51BA3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Progestérone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3F74C" w14:textId="77777777" w:rsidR="00837CD8" w:rsidRDefault="00B51BA3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 xml:space="preserve">Aggrave l’acné : augmente sécrétion sébum + prolifération </w:t>
            </w:r>
            <w:proofErr w:type="spellStart"/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kératinocytes</w:t>
            </w:r>
            <w:proofErr w:type="spellEnd"/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 xml:space="preserve"> + cytokines pro-inflammatoires</w:t>
            </w:r>
          </w:p>
        </w:tc>
      </w:tr>
      <w:tr w:rsidR="00837CD8" w14:paraId="3D16BD4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5C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C9B9E" w14:textId="77777777" w:rsidR="00837CD8" w:rsidRDefault="00B51BA3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IGF-1 (</w:t>
            </w:r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Insulin-Like</w:t>
            </w:r>
            <w:proofErr w:type="spellEnd"/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 xml:space="preserve"> GF)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AF5DB" w14:textId="093545CC" w:rsidR="00837CD8" w:rsidRDefault="00B51BA3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 xml:space="preserve">Augmente à l’adolescence → stimule </w:t>
            </w:r>
            <w:r w:rsidR="003D6506"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synthèse androgène</w:t>
            </w:r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5α-réductase</w:t>
            </w:r>
            <w:proofErr w:type="spellEnd"/>
          </w:p>
        </w:tc>
      </w:tr>
      <w:tr w:rsidR="00837CD8" w14:paraId="0472C73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5C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759A1" w14:textId="77777777" w:rsidR="00837CD8" w:rsidRDefault="00B51BA3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 xml:space="preserve">Insuline / </w:t>
            </w:r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Cortisol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6485D" w14:textId="77777777" w:rsidR="00837CD8" w:rsidRDefault="00B51BA3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 xml:space="preserve">Stimulent la croissance des </w:t>
            </w:r>
            <w:proofErr w:type="spellStart"/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sébocytes</w:t>
            </w:r>
            <w:proofErr w:type="spellEnd"/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 xml:space="preserve"> et la production de sébum</w:t>
            </w:r>
          </w:p>
        </w:tc>
      </w:tr>
    </w:tbl>
    <w:p w14:paraId="425161FF" w14:textId="77777777" w:rsidR="00837CD8" w:rsidRDefault="00837CD8">
      <w:pPr>
        <w:spacing w:after="16"/>
      </w:pPr>
    </w:p>
    <w:p w14:paraId="47294562" w14:textId="77777777" w:rsidR="00837CD8" w:rsidRDefault="00B51BA3">
      <w:pPr>
        <w:spacing w:before="240" w:after="80"/>
      </w:pPr>
      <w:r>
        <w:rPr>
          <w:rFonts w:ascii="Book Antiqua" w:eastAsia="Book Antiqua" w:hAnsi="Book Antiqua" w:cs="Book Antiqua"/>
          <w:b/>
          <w:bCs/>
          <w:color w:val="E8825A"/>
          <w:sz w:val="26"/>
          <w:szCs w:val="26"/>
        </w:rPr>
        <w:t>Acné &amp; Facteurs environnementaux</w:t>
      </w:r>
    </w:p>
    <w:p w14:paraId="1557A0F6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UV et pollution</w:t>
      </w:r>
    </w:p>
    <w:p w14:paraId="5DC6C778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Perturbateurs endocriniens</w:t>
      </w:r>
    </w:p>
    <w:p w14:paraId="2DDF3916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Stress (</w:t>
      </w:r>
      <w:proofErr w:type="spellStart"/>
      <w:r>
        <w:rPr>
          <w:rFonts w:ascii="Book Antiqua" w:eastAsia="Book Antiqua" w:hAnsi="Book Antiqua" w:cs="Book Antiqua"/>
          <w:color w:val="2C2C2C"/>
        </w:rPr>
        <w:t>cortisol</w:t>
      </w:r>
      <w:proofErr w:type="spellEnd"/>
      <w:r>
        <w:rPr>
          <w:rFonts w:ascii="Book Antiqua" w:eastAsia="Book Antiqua" w:hAnsi="Book Antiqua" w:cs="Book Antiqua"/>
          <w:color w:val="2C2C2C"/>
        </w:rPr>
        <w:t>)</w:t>
      </w:r>
    </w:p>
    <w:p w14:paraId="679DC972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Cosmétiques inadéquats (</w:t>
      </w:r>
      <w:proofErr w:type="spellStart"/>
      <w:r>
        <w:rPr>
          <w:rFonts w:ascii="Book Antiqua" w:eastAsia="Book Antiqua" w:hAnsi="Book Antiqua" w:cs="Book Antiqua"/>
          <w:color w:val="2C2C2C"/>
        </w:rPr>
        <w:t>comédogènes</w:t>
      </w:r>
      <w:proofErr w:type="spellEnd"/>
      <w:r>
        <w:rPr>
          <w:rFonts w:ascii="Book Antiqua" w:eastAsia="Book Antiqua" w:hAnsi="Book Antiqua" w:cs="Book Antiqua"/>
          <w:color w:val="2C2C2C"/>
        </w:rPr>
        <w:t>)</w:t>
      </w:r>
    </w:p>
    <w:p w14:paraId="2B460D0E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Terrain génétique</w:t>
      </w:r>
    </w:p>
    <w:p w14:paraId="396FA87B" w14:textId="77777777" w:rsidR="00837CD8" w:rsidRDefault="00837CD8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37CD8" w14:paraId="769C7BF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825A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0B9F3AB9" w14:textId="77777777" w:rsidR="00837CD8" w:rsidRDefault="00B51BA3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6"/>
                <w:szCs w:val="26"/>
              </w:rPr>
              <w:t>6. LES RECOMMANDATIONS</w:t>
            </w:r>
          </w:p>
        </w:tc>
      </w:tr>
    </w:tbl>
    <w:p w14:paraId="6C4D55E6" w14:textId="77777777" w:rsidR="00837CD8" w:rsidRDefault="00837CD8">
      <w:pPr>
        <w:spacing w:after="24"/>
      </w:pPr>
    </w:p>
    <w:p w14:paraId="6DE55336" w14:textId="77777777" w:rsidR="00837CD8" w:rsidRDefault="00B51BA3">
      <w:pPr>
        <w:pBdr>
          <w:bottom w:val="single" w:sz="4" w:space="0" w:color="E8825A"/>
        </w:pBdr>
        <w:spacing w:before="260" w:after="80"/>
      </w:pPr>
      <w:r>
        <w:rPr>
          <w:rFonts w:ascii="Book Antiqua" w:eastAsia="Book Antiqua" w:hAnsi="Book Antiqua" w:cs="Book Antiqua"/>
          <w:b/>
          <w:bCs/>
          <w:color w:val="1F3864"/>
          <w:sz w:val="24"/>
          <w:szCs w:val="24"/>
        </w:rPr>
        <w:t>Bilan alimentaire &amp; individualisation</w:t>
      </w:r>
    </w:p>
    <w:p w14:paraId="11B625CC" w14:textId="77777777" w:rsidR="00837CD8" w:rsidRDefault="00B51BA3">
      <w:pPr>
        <w:spacing w:before="60" w:after="60"/>
      </w:pPr>
      <w:r>
        <w:rPr>
          <w:rFonts w:ascii="Book Antiqua" w:eastAsia="Book Antiqua" w:hAnsi="Book Antiqua" w:cs="Book Antiqua"/>
          <w:i/>
          <w:iCs/>
          <w:color w:val="2C2C2C"/>
        </w:rPr>
        <w:t>Points d’attention pour Lola (lycéenne, vit chez ses parents, budget limité) :</w:t>
      </w:r>
    </w:p>
    <w:p w14:paraId="13D4BB3C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Manque de légumes</w:t>
      </w:r>
    </w:p>
    <w:p w14:paraId="631FA225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Manque d’omégas 3</w:t>
      </w:r>
    </w:p>
    <w:p w14:paraId="4F9C4BDE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Surcharge en sucres raffinés (acné + fatigue + hypoglycémie réactionnelle)</w:t>
      </w:r>
    </w:p>
    <w:p w14:paraId="3A17691A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Hydratation insuffisante</w:t>
      </w:r>
    </w:p>
    <w:p w14:paraId="2F27E20A" w14:textId="77777777" w:rsidR="00837CD8" w:rsidRDefault="00837CD8">
      <w:pPr>
        <w:spacing w:after="24"/>
      </w:pPr>
    </w:p>
    <w:p w14:paraId="28175A13" w14:textId="77777777" w:rsidR="00837CD8" w:rsidRDefault="00B51BA3">
      <w:pPr>
        <w:pBdr>
          <w:bottom w:val="single" w:sz="4" w:space="0" w:color="E8825A"/>
        </w:pBdr>
        <w:spacing w:before="260" w:after="80"/>
      </w:pPr>
      <w:r>
        <w:rPr>
          <w:rFonts w:ascii="Book Antiqua" w:eastAsia="Book Antiqua" w:hAnsi="Book Antiqua" w:cs="Book Antiqua"/>
          <w:b/>
          <w:bCs/>
          <w:color w:val="1F3864"/>
          <w:sz w:val="24"/>
          <w:szCs w:val="24"/>
        </w:rPr>
        <w:t>Recommandations alimentaires clés</w:t>
      </w:r>
    </w:p>
    <w:p w14:paraId="22E74679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 xml:space="preserve">Introduire un petit déjeuner </w:t>
      </w:r>
      <w:proofErr w:type="spellStart"/>
      <w:r>
        <w:rPr>
          <w:rFonts w:ascii="Book Antiqua" w:eastAsia="Book Antiqua" w:hAnsi="Book Antiqua" w:cs="Book Antiqua"/>
          <w:color w:val="2C2C2C"/>
        </w:rPr>
        <w:t>protéiné</w:t>
      </w:r>
      <w:proofErr w:type="spellEnd"/>
      <w:r>
        <w:rPr>
          <w:rFonts w:ascii="Book Antiqua" w:eastAsia="Book Antiqua" w:hAnsi="Book Antiqua" w:cs="Book Antiqua"/>
          <w:color w:val="2C2C2C"/>
        </w:rPr>
        <w:t xml:space="preserve"> et lipidique</w:t>
      </w:r>
    </w:p>
    <w:p w14:paraId="1D8752F2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Collation 10h : poignée d’amandes/noix ou 1 fruit + eau</w:t>
      </w:r>
    </w:p>
    <w:p w14:paraId="6B85D039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 xml:space="preserve">Déjeuner : ajouter des légumes (crudités + légumes cuits) — </w:t>
      </w:r>
      <w:proofErr w:type="spellStart"/>
      <w:r>
        <w:rPr>
          <w:rFonts w:ascii="Book Antiqua" w:eastAsia="Book Antiqua" w:hAnsi="Book Antiqua" w:cs="Book Antiqua"/>
          <w:color w:val="2C2C2C"/>
        </w:rPr>
        <w:t>déssert</w:t>
      </w:r>
      <w:proofErr w:type="spellEnd"/>
      <w:r>
        <w:rPr>
          <w:rFonts w:ascii="Book Antiqua" w:eastAsia="Book Antiqua" w:hAnsi="Book Antiqua" w:cs="Book Antiqua"/>
          <w:color w:val="2C2C2C"/>
        </w:rPr>
        <w:t xml:space="preserve"> moins sucré (yaourt, compote)</w:t>
      </w:r>
    </w:p>
    <w:p w14:paraId="07921166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Supprimer sodas et bonbons au goûter — remplacer par fruits, oléagineux, laitage</w:t>
      </w:r>
    </w:p>
    <w:p w14:paraId="09B21EBF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Légumes : 40 % de l’assiette le soir</w:t>
      </w:r>
    </w:p>
    <w:p w14:paraId="11522AB4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Introduire des omégas 3 : mélange d’huiles, graines de chia, oeufs Bleu-Blanc-Coeur</w:t>
      </w:r>
    </w:p>
    <w:p w14:paraId="183D0067" w14:textId="77777777" w:rsidR="00837CD8" w:rsidRDefault="00837CD8">
      <w:pPr>
        <w:spacing w:after="24"/>
      </w:pPr>
    </w:p>
    <w:p w14:paraId="77452E0E" w14:textId="77777777" w:rsidR="00837CD8" w:rsidRDefault="00B51BA3">
      <w:pPr>
        <w:pBdr>
          <w:bottom w:val="single" w:sz="4" w:space="0" w:color="E8825A"/>
        </w:pBdr>
        <w:spacing w:before="260" w:after="80"/>
      </w:pPr>
      <w:r>
        <w:rPr>
          <w:rFonts w:ascii="Book Antiqua" w:eastAsia="Book Antiqua" w:hAnsi="Book Antiqua" w:cs="Book Antiqua"/>
          <w:b/>
          <w:bCs/>
          <w:color w:val="1F3864"/>
          <w:sz w:val="24"/>
          <w:szCs w:val="24"/>
        </w:rPr>
        <w:t>Hygiène de vie</w:t>
      </w:r>
    </w:p>
    <w:p w14:paraId="3404C998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Se coucher plus tôt : 22h/22h30</w:t>
      </w:r>
    </w:p>
    <w:p w14:paraId="36B6A576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Eviter les écrans après 21h</w:t>
      </w:r>
    </w:p>
    <w:p w14:paraId="17F66029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Poursuivre équitation et danse (exutoire essentiel)</w:t>
      </w:r>
    </w:p>
    <w:p w14:paraId="61D3B286" w14:textId="77777777" w:rsidR="00837CD8" w:rsidRDefault="00837CD8">
      <w:pPr>
        <w:spacing w:after="24"/>
      </w:pPr>
    </w:p>
    <w:p w14:paraId="1B705561" w14:textId="77777777" w:rsidR="00811B4F" w:rsidRDefault="00811B4F">
      <w:pPr>
        <w:spacing w:after="24"/>
      </w:pPr>
    </w:p>
    <w:p w14:paraId="635ECD5C" w14:textId="77777777" w:rsidR="00811B4F" w:rsidRDefault="00811B4F">
      <w:pPr>
        <w:spacing w:after="24"/>
      </w:pPr>
    </w:p>
    <w:p w14:paraId="1174B046" w14:textId="77777777" w:rsidR="00837CD8" w:rsidRDefault="00B51BA3">
      <w:pPr>
        <w:pBdr>
          <w:bottom w:val="single" w:sz="4" w:space="0" w:color="E8825A"/>
        </w:pBdr>
        <w:spacing w:before="260" w:after="80"/>
      </w:pPr>
      <w:r>
        <w:rPr>
          <w:rFonts w:ascii="Book Antiqua" w:eastAsia="Book Antiqua" w:hAnsi="Book Antiqua" w:cs="Book Antiqua"/>
          <w:b/>
          <w:bCs/>
          <w:color w:val="1F3864"/>
          <w:sz w:val="24"/>
          <w:szCs w:val="24"/>
        </w:rPr>
        <w:lastRenderedPageBreak/>
        <w:t>Accompagnements spécifiques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6"/>
        <w:gridCol w:w="6904"/>
      </w:tblGrid>
      <w:tr w:rsidR="00837CD8" w14:paraId="4BBA6E7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B2EFE" w14:textId="77777777" w:rsidR="00837CD8" w:rsidRDefault="00B51BA3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>Complément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69DA5" w14:textId="77777777" w:rsidR="00837CD8" w:rsidRDefault="00B51BA3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Posologie &amp; objectif</w:t>
            </w:r>
          </w:p>
        </w:tc>
      </w:tr>
      <w:tr w:rsidR="00837CD8" w14:paraId="3DECEE3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D0640" w14:textId="77777777" w:rsidR="00837CD8" w:rsidRDefault="00B51BA3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Cure de chlorophylle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5AD7A" w14:textId="77777777" w:rsidR="00837CD8" w:rsidRDefault="00B51BA3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10 gouttes x 3 j puis 20 gouttes — 1 mois. Anti-inflammatoire cutané, transit, flore intestinale</w:t>
            </w:r>
          </w:p>
        </w:tc>
      </w:tr>
      <w:tr w:rsidR="00837CD8" w14:paraId="643EF85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ADBF1" w14:textId="77777777" w:rsidR="00837CD8" w:rsidRDefault="00B51BA3"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Probiotiques</w:t>
            </w:r>
            <w:proofErr w:type="spellEnd"/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 xml:space="preserve"> + Zinc + Ortie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475FC" w14:textId="77777777" w:rsidR="00837CD8" w:rsidRDefault="00B51BA3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2 gélules le matin avant le petit déjeuner — 3 mois. Axe intestin-peau, sébum, androgènes</w:t>
            </w:r>
          </w:p>
        </w:tc>
      </w:tr>
      <w:tr w:rsidR="00837CD8" w14:paraId="3F50048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94F55" w14:textId="77777777" w:rsidR="00837CD8" w:rsidRDefault="00B51BA3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Huile d’onagre &amp; bourrache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55F25" w14:textId="77777777" w:rsidR="00837CD8" w:rsidRDefault="00B51BA3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4 gélules par jour — 3 mois. Équilibre hormonal (GLA → PGE1), peau, eczéma</w:t>
            </w:r>
          </w:p>
        </w:tc>
      </w:tr>
    </w:tbl>
    <w:p w14:paraId="7BCA9312" w14:textId="77777777" w:rsidR="00837CD8" w:rsidRDefault="00837CD8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37CD8" w14:paraId="2EEF217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825A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25790630" w14:textId="77777777" w:rsidR="00837CD8" w:rsidRDefault="00B51BA3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6"/>
                <w:szCs w:val="26"/>
              </w:rPr>
              <w:t>7. ET APRÈS ?</w:t>
            </w:r>
          </w:p>
        </w:tc>
      </w:tr>
    </w:tbl>
    <w:p w14:paraId="26E31398" w14:textId="77777777" w:rsidR="00837CD8" w:rsidRDefault="00837CD8">
      <w:pPr>
        <w:spacing w:after="24"/>
      </w:pPr>
    </w:p>
    <w:p w14:paraId="70736763" w14:textId="77777777" w:rsidR="00837CD8" w:rsidRDefault="00B51BA3">
      <w:pPr>
        <w:pBdr>
          <w:bottom w:val="single" w:sz="4" w:space="0" w:color="E8825A"/>
        </w:pBdr>
        <w:spacing w:before="260" w:after="80"/>
      </w:pPr>
      <w:r>
        <w:rPr>
          <w:rFonts w:ascii="Book Antiqua" w:eastAsia="Book Antiqua" w:hAnsi="Book Antiqua" w:cs="Book Antiqua"/>
          <w:b/>
          <w:bCs/>
          <w:color w:val="1F3864"/>
          <w:sz w:val="24"/>
          <w:szCs w:val="24"/>
        </w:rPr>
        <w:t>Suivi à prévoir</w:t>
      </w:r>
    </w:p>
    <w:p w14:paraId="16523183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Séance de suivi dans 3 mois</w:t>
      </w:r>
    </w:p>
    <w:p w14:paraId="6A421B52" w14:textId="77777777" w:rsidR="00837CD8" w:rsidRDefault="00837CD8">
      <w:pPr>
        <w:spacing w:after="24"/>
      </w:pPr>
    </w:p>
    <w:p w14:paraId="051F037E" w14:textId="77777777" w:rsidR="00837CD8" w:rsidRDefault="00B51BA3">
      <w:pPr>
        <w:pBdr>
          <w:bottom w:val="single" w:sz="4" w:space="0" w:color="E8825A"/>
        </w:pBdr>
        <w:spacing w:before="260" w:after="80"/>
      </w:pPr>
      <w:r>
        <w:rPr>
          <w:rFonts w:ascii="Book Antiqua" w:eastAsia="Book Antiqua" w:hAnsi="Book Antiqua" w:cs="Book Antiqua"/>
          <w:b/>
          <w:bCs/>
          <w:color w:val="1F3864"/>
          <w:sz w:val="24"/>
          <w:szCs w:val="24"/>
        </w:rPr>
        <w:t xml:space="preserve">Points à </w:t>
      </w:r>
      <w:proofErr w:type="spellStart"/>
      <w:r>
        <w:rPr>
          <w:rFonts w:ascii="Book Antiqua" w:eastAsia="Book Antiqua" w:hAnsi="Book Antiqua" w:cs="Book Antiqua"/>
          <w:b/>
          <w:bCs/>
          <w:color w:val="1F3864"/>
          <w:sz w:val="24"/>
          <w:szCs w:val="24"/>
        </w:rPr>
        <w:t>réinterroger</w:t>
      </w:r>
      <w:proofErr w:type="spellEnd"/>
    </w:p>
    <w:p w14:paraId="11D59F11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Evolution du transit et des ballonnements</w:t>
      </w:r>
    </w:p>
    <w:p w14:paraId="4B43FBAF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Evolution de l’acné (inflammation, nouvelles lésions, cicatrisation)</w:t>
      </w:r>
    </w:p>
    <w:p w14:paraId="0A1B3E5F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Adhérence aux changements alimentaires</w:t>
      </w:r>
    </w:p>
    <w:p w14:paraId="5234752A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Qualité et durée du sommeil</w:t>
      </w:r>
    </w:p>
    <w:p w14:paraId="417F9E01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Régularité des cycles menstruels</w:t>
      </w:r>
    </w:p>
    <w:p w14:paraId="57DD6CB8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Tolérance et observance des compléments</w:t>
      </w:r>
    </w:p>
    <w:p w14:paraId="64A0BF4F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Evolution de l’eczéma</w:t>
      </w:r>
    </w:p>
    <w:p w14:paraId="05D82C32" w14:textId="77777777" w:rsidR="00837CD8" w:rsidRDefault="00B51BA3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RDV gynécologue / sage-femme effectué ?</w:t>
      </w:r>
    </w:p>
    <w:p w14:paraId="51241C41" w14:textId="77777777" w:rsidR="00837CD8" w:rsidRDefault="00837CD8">
      <w:pPr>
        <w:spacing w:after="24"/>
      </w:pPr>
    </w:p>
    <w:p w14:paraId="715CDC40" w14:textId="77777777" w:rsidR="00837CD8" w:rsidRDefault="00B51BA3">
      <w:pPr>
        <w:pBdr>
          <w:bottom w:val="single" w:sz="4" w:space="0" w:color="E8825A"/>
        </w:pBdr>
        <w:spacing w:before="260" w:after="80"/>
      </w:pPr>
      <w:r>
        <w:rPr>
          <w:rFonts w:ascii="Book Antiqua" w:eastAsia="Book Antiqua" w:hAnsi="Book Antiqua" w:cs="Book Antiqua"/>
          <w:b/>
          <w:bCs/>
          <w:color w:val="1F3864"/>
          <w:sz w:val="24"/>
          <w:szCs w:val="24"/>
        </w:rPr>
        <w:t>Points clés à retenir sur la posture praticien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2"/>
        <w:gridCol w:w="7348"/>
      </w:tblGrid>
      <w:tr w:rsidR="00837CD8" w14:paraId="51FA3FD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82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A8002" w14:textId="77777777" w:rsidR="00837CD8" w:rsidRDefault="00B51BA3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>Compétence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D90D7" w14:textId="77777777" w:rsidR="00837CD8" w:rsidRDefault="00B51BA3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Enseignement tiré de cette séance</w:t>
            </w:r>
          </w:p>
        </w:tc>
      </w:tr>
      <w:tr w:rsidR="00837CD8" w14:paraId="4421754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5C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06D6F" w14:textId="77777777" w:rsidR="00837CD8" w:rsidRDefault="00B51BA3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Accueil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2F518" w14:textId="77777777" w:rsidR="00837CD8" w:rsidRDefault="00B51BA3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Instaurer un climat bienveillant dès la première minute</w:t>
            </w:r>
          </w:p>
        </w:tc>
      </w:tr>
      <w:tr w:rsidR="00837CD8" w14:paraId="0BD46A0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5C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D23A5" w14:textId="77777777" w:rsidR="00837CD8" w:rsidRDefault="00B51BA3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Adaptation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D5EA2" w14:textId="77777777" w:rsidR="00837CD8" w:rsidRDefault="00B51BA3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Ne pas être professoral ou maternant avec un adolescent réticent</w:t>
            </w:r>
          </w:p>
        </w:tc>
      </w:tr>
      <w:tr w:rsidR="00837CD8" w14:paraId="7B6A2EA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5C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58901" w14:textId="77777777" w:rsidR="00837CD8" w:rsidRDefault="00B51BA3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Pédagogie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5D71C" w14:textId="77777777" w:rsidR="00837CD8" w:rsidRDefault="00B51BA3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Illustrer, vérifier la compréhension, répondre aux objections (ex. pilule)</w:t>
            </w:r>
          </w:p>
        </w:tc>
      </w:tr>
      <w:tr w:rsidR="00837CD8" w14:paraId="499B4B5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5C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CA292" w14:textId="77777777" w:rsidR="00837CD8" w:rsidRDefault="00B51BA3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Fil conducteur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59614" w14:textId="77777777" w:rsidR="00837CD8" w:rsidRDefault="00B51BA3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Toujours ramener les informations au motif principal</w:t>
            </w:r>
          </w:p>
        </w:tc>
      </w:tr>
      <w:tr w:rsidR="00837CD8" w14:paraId="2BB6D74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5C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62CC8" w14:textId="77777777" w:rsidR="00837CD8" w:rsidRDefault="00B51BA3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Cause de la cause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0EF3D" w14:textId="77777777" w:rsidR="00837CD8" w:rsidRDefault="00B51BA3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Ne pas traiter le symptôme mais remonter aux origines du terrain</w:t>
            </w:r>
          </w:p>
        </w:tc>
      </w:tr>
      <w:tr w:rsidR="00837CD8" w14:paraId="5C11A1A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5C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E33D0" w14:textId="77777777" w:rsidR="00837CD8" w:rsidRDefault="00B51BA3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Individualisation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664B1" w14:textId="77777777" w:rsidR="00837CD8" w:rsidRDefault="00B51BA3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Adapter les conseils à l’âge, au contexte de vie et au budget du consultant</w:t>
            </w:r>
          </w:p>
        </w:tc>
      </w:tr>
    </w:tbl>
    <w:p w14:paraId="2B729AB2" w14:textId="77777777" w:rsidR="00837CD8" w:rsidRDefault="00837CD8">
      <w:pPr>
        <w:spacing w:after="40"/>
      </w:pPr>
    </w:p>
    <w:p w14:paraId="66A56625" w14:textId="77777777" w:rsidR="00837CD8" w:rsidRDefault="00B51BA3">
      <w:pPr>
        <w:pBdr>
          <w:top w:val="single" w:sz="4" w:space="0" w:color="E8825A"/>
        </w:pBdr>
        <w:spacing w:before="200"/>
      </w:pPr>
      <w:r>
        <w:rPr>
          <w:rFonts w:ascii="Book Antiqua" w:eastAsia="Book Antiqua" w:hAnsi="Book Antiqua" w:cs="Book Antiqua"/>
          <w:i/>
          <w:iCs/>
          <w:color w:val="888888"/>
          <w:sz w:val="18"/>
          <w:szCs w:val="18"/>
        </w:rPr>
        <w:t xml:space="preserve">Document à usage pédagogique — École de Santé Naturelle (ESN) — 16/03/2026. Le praticien </w:t>
      </w:r>
      <w:proofErr w:type="spellStart"/>
      <w:r>
        <w:rPr>
          <w:rFonts w:ascii="Book Antiqua" w:eastAsia="Book Antiqua" w:hAnsi="Book Antiqua" w:cs="Book Antiqua"/>
          <w:i/>
          <w:iCs/>
          <w:color w:val="888888"/>
          <w:sz w:val="18"/>
          <w:szCs w:val="18"/>
        </w:rPr>
        <w:t>naturopathe</w:t>
      </w:r>
      <w:proofErr w:type="spellEnd"/>
      <w:r>
        <w:rPr>
          <w:rFonts w:ascii="Book Antiqua" w:eastAsia="Book Antiqua" w:hAnsi="Book Antiqua" w:cs="Book Antiqua"/>
          <w:i/>
          <w:iCs/>
          <w:color w:val="888888"/>
          <w:sz w:val="18"/>
          <w:szCs w:val="18"/>
        </w:rPr>
        <w:t xml:space="preserve"> ne remplace pas l’avis du médecin.</w:t>
      </w:r>
    </w:p>
    <w:sectPr w:rsidR="00837CD8" w:rsidSect="00456345">
      <w:footerReference w:type="even" r:id="rId7"/>
      <w:footerReference w:type="default" r:id="rId8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583CC" w14:textId="77777777" w:rsidR="00456345" w:rsidRDefault="00456345" w:rsidP="00456345">
      <w:r>
        <w:separator/>
      </w:r>
    </w:p>
  </w:endnote>
  <w:endnote w:type="continuationSeparator" w:id="0">
    <w:p w14:paraId="79C34534" w14:textId="77777777" w:rsidR="00456345" w:rsidRDefault="00456345" w:rsidP="004563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1450392808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3F6F639F" w14:textId="4E23F6F9" w:rsidR="00DC1094" w:rsidRDefault="00DC1094" w:rsidP="00AB2766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sdt>
    <w:sdtPr>
      <w:rPr>
        <w:rStyle w:val="Numrodepage"/>
      </w:rPr>
      <w:id w:val="732974767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295C8633" w14:textId="3A02BB4D" w:rsidR="00456345" w:rsidRDefault="00456345" w:rsidP="00DC1094">
        <w:pPr>
          <w:pStyle w:val="Pieddepage"/>
          <w:framePr w:wrap="none" w:vAnchor="text" w:hAnchor="margin" w:xAlign="right" w:y="1"/>
          <w:ind w:right="360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16FF2999" w14:textId="77777777" w:rsidR="00456345" w:rsidRDefault="00456345" w:rsidP="00456345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1390347350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78C0D84B" w14:textId="5FFC989C" w:rsidR="00DC1094" w:rsidRDefault="00DC1094" w:rsidP="00AB2766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4A70FD5E" w14:textId="77777777" w:rsidR="00456345" w:rsidRDefault="00456345" w:rsidP="00456345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9E471" w14:textId="77777777" w:rsidR="00456345" w:rsidRDefault="00456345" w:rsidP="00456345">
      <w:r>
        <w:separator/>
      </w:r>
    </w:p>
  </w:footnote>
  <w:footnote w:type="continuationSeparator" w:id="0">
    <w:p w14:paraId="33BFDFDF" w14:textId="77777777" w:rsidR="00456345" w:rsidRDefault="00456345" w:rsidP="004563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2384E"/>
    <w:multiLevelType w:val="hybridMultilevel"/>
    <w:tmpl w:val="FFFFFFFF"/>
    <w:lvl w:ilvl="0" w:tplc="7212B78A">
      <w:start w:val="1"/>
      <w:numFmt w:val="bullet"/>
      <w:lvlText w:val="•"/>
      <w:lvlJc w:val="left"/>
      <w:pPr>
        <w:ind w:left="560" w:hanging="280"/>
      </w:pPr>
    </w:lvl>
    <w:lvl w:ilvl="1" w:tplc="DC0C3762">
      <w:numFmt w:val="decimal"/>
      <w:lvlText w:val=""/>
      <w:lvlJc w:val="left"/>
    </w:lvl>
    <w:lvl w:ilvl="2" w:tplc="2B361C64">
      <w:numFmt w:val="decimal"/>
      <w:lvlText w:val=""/>
      <w:lvlJc w:val="left"/>
    </w:lvl>
    <w:lvl w:ilvl="3" w:tplc="A914D698">
      <w:numFmt w:val="decimal"/>
      <w:lvlText w:val=""/>
      <w:lvlJc w:val="left"/>
    </w:lvl>
    <w:lvl w:ilvl="4" w:tplc="24A29E10">
      <w:numFmt w:val="decimal"/>
      <w:lvlText w:val=""/>
      <w:lvlJc w:val="left"/>
    </w:lvl>
    <w:lvl w:ilvl="5" w:tplc="33E2C2FC">
      <w:numFmt w:val="decimal"/>
      <w:lvlText w:val=""/>
      <w:lvlJc w:val="left"/>
    </w:lvl>
    <w:lvl w:ilvl="6" w:tplc="CA1875DE">
      <w:numFmt w:val="decimal"/>
      <w:lvlText w:val=""/>
      <w:lvlJc w:val="left"/>
    </w:lvl>
    <w:lvl w:ilvl="7" w:tplc="25AA7332">
      <w:numFmt w:val="decimal"/>
      <w:lvlText w:val=""/>
      <w:lvlJc w:val="left"/>
    </w:lvl>
    <w:lvl w:ilvl="8" w:tplc="D512D5DE">
      <w:numFmt w:val="decimal"/>
      <w:lvlText w:val=""/>
      <w:lvlJc w:val="left"/>
    </w:lvl>
  </w:abstractNum>
  <w:abstractNum w:abstractNumId="1" w15:restartNumberingAfterBreak="0">
    <w:nsid w:val="515C0D11"/>
    <w:multiLevelType w:val="hybridMultilevel"/>
    <w:tmpl w:val="FFFFFFFF"/>
    <w:lvl w:ilvl="0" w:tplc="D85AAA92">
      <w:start w:val="1"/>
      <w:numFmt w:val="bullet"/>
      <w:lvlText w:val="●"/>
      <w:lvlJc w:val="left"/>
      <w:pPr>
        <w:ind w:left="720" w:hanging="360"/>
      </w:pPr>
    </w:lvl>
    <w:lvl w:ilvl="1" w:tplc="45FC3B6E">
      <w:start w:val="1"/>
      <w:numFmt w:val="bullet"/>
      <w:lvlText w:val="○"/>
      <w:lvlJc w:val="left"/>
      <w:pPr>
        <w:ind w:left="1440" w:hanging="360"/>
      </w:pPr>
    </w:lvl>
    <w:lvl w:ilvl="2" w:tplc="7D049CA0">
      <w:start w:val="1"/>
      <w:numFmt w:val="bullet"/>
      <w:lvlText w:val="■"/>
      <w:lvlJc w:val="left"/>
      <w:pPr>
        <w:ind w:left="2160" w:hanging="360"/>
      </w:pPr>
    </w:lvl>
    <w:lvl w:ilvl="3" w:tplc="4762DB24">
      <w:start w:val="1"/>
      <w:numFmt w:val="bullet"/>
      <w:lvlText w:val="●"/>
      <w:lvlJc w:val="left"/>
      <w:pPr>
        <w:ind w:left="2880" w:hanging="360"/>
      </w:pPr>
    </w:lvl>
    <w:lvl w:ilvl="4" w:tplc="A93E5A74">
      <w:start w:val="1"/>
      <w:numFmt w:val="bullet"/>
      <w:lvlText w:val="○"/>
      <w:lvlJc w:val="left"/>
      <w:pPr>
        <w:ind w:left="3600" w:hanging="360"/>
      </w:pPr>
    </w:lvl>
    <w:lvl w:ilvl="5" w:tplc="8F100458">
      <w:start w:val="1"/>
      <w:numFmt w:val="bullet"/>
      <w:lvlText w:val="■"/>
      <w:lvlJc w:val="left"/>
      <w:pPr>
        <w:ind w:left="4320" w:hanging="360"/>
      </w:pPr>
    </w:lvl>
    <w:lvl w:ilvl="6" w:tplc="F1585EC0">
      <w:start w:val="1"/>
      <w:numFmt w:val="bullet"/>
      <w:lvlText w:val="●"/>
      <w:lvlJc w:val="left"/>
      <w:pPr>
        <w:ind w:left="5040" w:hanging="360"/>
      </w:pPr>
    </w:lvl>
    <w:lvl w:ilvl="7" w:tplc="612E7552">
      <w:start w:val="1"/>
      <w:numFmt w:val="bullet"/>
      <w:lvlText w:val="●"/>
      <w:lvlJc w:val="left"/>
      <w:pPr>
        <w:ind w:left="5760" w:hanging="360"/>
      </w:pPr>
    </w:lvl>
    <w:lvl w:ilvl="8" w:tplc="3CCE0B9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6F7362"/>
    <w:multiLevelType w:val="hybridMultilevel"/>
    <w:tmpl w:val="FFFFFFFF"/>
    <w:lvl w:ilvl="0" w:tplc="AD424782">
      <w:start w:val="1"/>
      <w:numFmt w:val="bullet"/>
      <w:lvlText w:val="◦"/>
      <w:lvlJc w:val="left"/>
      <w:pPr>
        <w:ind w:left="1000" w:hanging="280"/>
      </w:pPr>
    </w:lvl>
    <w:lvl w:ilvl="1" w:tplc="964C6060">
      <w:numFmt w:val="decimal"/>
      <w:lvlText w:val=""/>
      <w:lvlJc w:val="left"/>
    </w:lvl>
    <w:lvl w:ilvl="2" w:tplc="D0CA8A72">
      <w:numFmt w:val="decimal"/>
      <w:lvlText w:val=""/>
      <w:lvlJc w:val="left"/>
    </w:lvl>
    <w:lvl w:ilvl="3" w:tplc="A2C87CF4">
      <w:numFmt w:val="decimal"/>
      <w:lvlText w:val=""/>
      <w:lvlJc w:val="left"/>
    </w:lvl>
    <w:lvl w:ilvl="4" w:tplc="225CAD68">
      <w:numFmt w:val="decimal"/>
      <w:lvlText w:val=""/>
      <w:lvlJc w:val="left"/>
    </w:lvl>
    <w:lvl w:ilvl="5" w:tplc="DD14D1C0">
      <w:numFmt w:val="decimal"/>
      <w:lvlText w:val=""/>
      <w:lvlJc w:val="left"/>
    </w:lvl>
    <w:lvl w:ilvl="6" w:tplc="37B21A7C">
      <w:numFmt w:val="decimal"/>
      <w:lvlText w:val=""/>
      <w:lvlJc w:val="left"/>
    </w:lvl>
    <w:lvl w:ilvl="7" w:tplc="63AC3B5C">
      <w:numFmt w:val="decimal"/>
      <w:lvlText w:val=""/>
      <w:lvlJc w:val="left"/>
    </w:lvl>
    <w:lvl w:ilvl="8" w:tplc="B0E825E0">
      <w:numFmt w:val="decimal"/>
      <w:lvlText w:val=""/>
      <w:lvlJc w:val="left"/>
    </w:lvl>
  </w:abstractNum>
  <w:num w:numId="1" w16cid:durableId="554196393">
    <w:abstractNumId w:val="1"/>
    <w:lvlOverride w:ilvl="0">
      <w:startOverride w:val="1"/>
    </w:lvlOverride>
  </w:num>
  <w:num w:numId="2" w16cid:durableId="1537040647">
    <w:abstractNumId w:val="0"/>
    <w:lvlOverride w:ilvl="0">
      <w:startOverride w:val="1"/>
    </w:lvlOverride>
  </w:num>
  <w:num w:numId="3" w16cid:durableId="13804191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CD8"/>
    <w:rsid w:val="00065184"/>
    <w:rsid w:val="000953A1"/>
    <w:rsid w:val="001141CF"/>
    <w:rsid w:val="001427BD"/>
    <w:rsid w:val="00254F84"/>
    <w:rsid w:val="002D705E"/>
    <w:rsid w:val="003D6506"/>
    <w:rsid w:val="00456345"/>
    <w:rsid w:val="00811B4F"/>
    <w:rsid w:val="00837CD8"/>
    <w:rsid w:val="00990BA7"/>
    <w:rsid w:val="00B51BA3"/>
    <w:rsid w:val="00D35B68"/>
    <w:rsid w:val="00DC1094"/>
    <w:rsid w:val="00E21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9979B0"/>
  <w15:docId w15:val="{C6B7F2AC-3958-034A-A02E-D934C74EB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45634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56345"/>
  </w:style>
  <w:style w:type="paragraph" w:styleId="Pieddepage">
    <w:name w:val="footer"/>
    <w:basedOn w:val="Normal"/>
    <w:link w:val="PieddepageCar"/>
    <w:uiPriority w:val="99"/>
    <w:unhideWhenUsed/>
    <w:rsid w:val="0045634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56345"/>
  </w:style>
  <w:style w:type="character" w:styleId="Numrodepage">
    <w:name w:val="page number"/>
    <w:basedOn w:val="Policepardfaut"/>
    <w:uiPriority w:val="99"/>
    <w:semiHidden/>
    <w:unhideWhenUsed/>
    <w:rsid w:val="004563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1233</Words>
  <Characters>6787</Characters>
  <Application>Microsoft Office Word</Application>
  <DocSecurity>0</DocSecurity>
  <Lines>56</Lines>
  <Paragraphs>16</Paragraphs>
  <ScaleCrop>false</ScaleCrop>
  <Company/>
  <LinksUpToDate>false</LinksUpToDate>
  <CharactersWithSpaces>8004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PERRIN Fabien</cp:lastModifiedBy>
  <cp:revision>2</cp:revision>
  <dcterms:created xsi:type="dcterms:W3CDTF">2026-03-24T14:34:00Z</dcterms:created>
  <dcterms:modified xsi:type="dcterms:W3CDTF">2026-03-24T14:34:00Z</dcterms:modified>
</cp:coreProperties>
</file>