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51B99" w14:textId="77777777" w:rsidR="009911B5" w:rsidRPr="00B002E3" w:rsidRDefault="00840FF2">
      <w:pPr>
        <w:spacing w:after="60"/>
        <w:jc w:val="center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1F3864"/>
          <w:sz w:val="48"/>
          <w:szCs w:val="48"/>
        </w:rPr>
        <w:t>PATHOLOGIES DU SYSTÈME ENDOCRINIEN</w:t>
      </w:r>
    </w:p>
    <w:p w14:paraId="7510A434" w14:textId="77777777" w:rsidR="009911B5" w:rsidRPr="00B002E3" w:rsidRDefault="00840FF2">
      <w:pPr>
        <w:spacing w:after="80"/>
        <w:jc w:val="center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i/>
          <w:iCs/>
          <w:color w:val="E8967A"/>
          <w:sz w:val="26"/>
          <w:szCs w:val="26"/>
        </w:rPr>
        <w:t>Les Thyroïdites — Fiche de révision</w:t>
      </w:r>
    </w:p>
    <w:p w14:paraId="1A786730" w14:textId="77777777" w:rsidR="009911B5" w:rsidRPr="00B002E3" w:rsidRDefault="009911B5">
      <w:pPr>
        <w:pBdr>
          <w:bottom w:val="single" w:sz="8" w:space="1" w:color="E8967A"/>
        </w:pBdr>
        <w:spacing w:before="40" w:after="40"/>
        <w:rPr>
          <w:rFonts w:ascii="Book Antiqua" w:hAnsi="Book Antiqua"/>
        </w:rPr>
      </w:pPr>
    </w:p>
    <w:p w14:paraId="181B5F80" w14:textId="77777777" w:rsidR="009911B5" w:rsidRPr="00B002E3" w:rsidRDefault="00840FF2">
      <w:pPr>
        <w:spacing w:after="80"/>
        <w:jc w:val="center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i/>
          <w:iCs/>
          <w:color w:val="666666"/>
        </w:rPr>
        <w:t>ESN • Module 12 • Pascale FAIVRE • 25/03/2026</w:t>
      </w:r>
    </w:p>
    <w:p w14:paraId="6D2B7AC7" w14:textId="77777777" w:rsidR="009911B5" w:rsidRPr="00B002E3" w:rsidRDefault="00840FF2">
      <w:pPr>
        <w:spacing w:before="240" w:after="8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30"/>
          <w:szCs w:val="30"/>
        </w:rPr>
        <w:t xml:space="preserve">1. </w:t>
      </w:r>
      <w:r w:rsidRPr="00B002E3">
        <w:rPr>
          <w:rFonts w:ascii="Book Antiqua" w:eastAsia="Book Antiqua" w:hAnsi="Book Antiqua" w:cs="Book Antiqua"/>
          <w:b/>
          <w:bCs/>
          <w:color w:val="1F3864"/>
          <w:sz w:val="30"/>
          <w:szCs w:val="30"/>
        </w:rPr>
        <w:t xml:space="preserve">RAPPELS — Axe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1F3864"/>
          <w:sz w:val="30"/>
          <w:szCs w:val="30"/>
        </w:rPr>
        <w:t>hypothalamo-hypophyso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1F3864"/>
          <w:sz w:val="30"/>
          <w:szCs w:val="30"/>
        </w:rPr>
        <w:t>-thyroïdien</w:t>
      </w:r>
    </w:p>
    <w:p w14:paraId="381216DC" w14:textId="77777777" w:rsidR="009911B5" w:rsidRPr="00B002E3" w:rsidRDefault="009911B5">
      <w:pPr>
        <w:pBdr>
          <w:bottom w:val="single" w:sz="4" w:space="1" w:color="2E6DA4"/>
        </w:pBdr>
        <w:spacing w:before="40" w:after="40"/>
        <w:rPr>
          <w:rFonts w:ascii="Book Antiqua" w:hAnsi="Book Antiqua"/>
        </w:rPr>
      </w:pPr>
    </w:p>
    <w:p w14:paraId="2903C56C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Cascade de régulation</w:t>
      </w:r>
    </w:p>
    <w:p w14:paraId="10B98F5D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>Hypothalamus → TRH → Hypophyse → TSH → Thyroïde → T4 (93 %) + T3 (7 %)</w:t>
      </w:r>
    </w:p>
    <w:p w14:paraId="39BD8F12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>Transport sanguin via TBG → captation tissulaire</w:t>
      </w:r>
    </w:p>
    <w:p w14:paraId="3826666E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>Conversion périphérique T4 → T3 active (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désiodase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5') ou T3r inactive</w:t>
      </w:r>
    </w:p>
    <w:p w14:paraId="343448FA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>Rétrocontrôle négatif : T3/T4 élevées freinent TSH</w:t>
      </w:r>
    </w:p>
    <w:p w14:paraId="54E06F71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41202CF9" w14:textId="77777777" w:rsidR="009911B5" w:rsidRPr="00B002E3" w:rsidRDefault="00840FF2">
      <w:pPr>
        <w:spacing w:before="30" w:after="10"/>
        <w:jc w:val="center"/>
        <w:rPr>
          <w:rFonts w:ascii="Book Antiqua" w:hAnsi="Book Antiqua"/>
        </w:rPr>
      </w:pPr>
      <w:r w:rsidRPr="00B002E3">
        <w:rPr>
          <w:rFonts w:ascii="Book Antiqua" w:hAnsi="Book Antiqua"/>
          <w:noProof/>
        </w:rPr>
        <w:drawing>
          <wp:inline distT="0" distB="0" distL="0" distR="0" wp14:anchorId="11313DD2" wp14:editId="291D5DFC">
            <wp:extent cx="5524500" cy="2238375"/>
            <wp:effectExtent l="0" t="0" r="0" b="0"/>
            <wp:docPr id="1" name="Schéma du thyréocyte et cascade de synthèse des hormones thyroïdiennes (Pascale Faivre / Guillaume Blanchet)" descr="Schéma du thyréocyte et cascade de synthèse des hormones thyroïdiennes (Pascale Faivre / Guillaume Blanchet)" title="Schéma du thyréocyte et cascade de synthèse des hormones thyroïdiennes (Pascale Faivre / Guillaume Blanche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2E04" w14:textId="77777777" w:rsidR="009911B5" w:rsidRPr="00B002E3" w:rsidRDefault="00840FF2">
      <w:pPr>
        <w:spacing w:after="20"/>
        <w:jc w:val="center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 xml:space="preserve">Schéma du </w:t>
      </w:r>
      <w:proofErr w:type="spellStart"/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>thyréocyte</w:t>
      </w:r>
      <w:proofErr w:type="spellEnd"/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 xml:space="preserve"> et cascade de synthèse des hormones thyroïdiennes (Pascale Faivre / Guillaume Blanchet)</w:t>
      </w:r>
    </w:p>
    <w:p w14:paraId="267415F6" w14:textId="77777777" w:rsidR="009911B5" w:rsidRPr="00B002E3" w:rsidRDefault="009911B5">
      <w:pPr>
        <w:spacing w:before="10" w:after="1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0"/>
      </w:tblGrid>
      <w:tr w:rsidR="009911B5" w:rsidRPr="00B002E3" w14:paraId="6A8E24BA" w14:textId="77777777">
        <w:tc>
          <w:tcPr>
            <w:tcW w:w="0" w:type="auto"/>
            <w:tcBorders>
              <w:top w:val="none" w:sz="0" w:space="0" w:color="FFFFFF"/>
              <w:left w:val="single" w:sz="18" w:space="0" w:color="E8967A"/>
              <w:bottom w:val="none" w:sz="0" w:space="0" w:color="FFFFFF"/>
              <w:right w:val="none" w:sz="0" w:space="0" w:color="FFFFFF"/>
            </w:tcBorders>
            <w:shd w:val="clear" w:color="auto" w:fill="FFF8E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E7B5549" w14:textId="77777777" w:rsidR="009911B5" w:rsidRPr="00B002E3" w:rsidRDefault="00840FF2">
            <w:pPr>
              <w:spacing w:after="30"/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b/>
                <w:bCs/>
                <w:color w:val="E8967A"/>
              </w:rPr>
              <w:t>📝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E8967A"/>
              </w:rPr>
              <w:t xml:space="preserve">  Note de cours</w:t>
            </w:r>
          </w:p>
          <w:p w14:paraId="6C839FF8" w14:textId="77777777" w:rsidR="009911B5" w:rsidRPr="00B002E3" w:rsidRDefault="00840FF2">
            <w:pPr>
              <w:spacing w:after="10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Le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thyréocyte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nécessite l'iode (I</w:t>
            </w:r>
            <w:r w:rsidRPr="00B002E3">
              <w:rPr>
                <w:rFonts w:ascii="Cambria Math" w:eastAsia="Book Antiqua" w:hAnsi="Cambria Math" w:cs="Cambria Math"/>
                <w:color w:val="333333"/>
              </w:rPr>
              <w:t>⁻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) qui entre via le transporteur NIS (co-transporteur Na</w:t>
            </w:r>
            <w:r w:rsidRPr="00B002E3">
              <w:rPr>
                <w:rFonts w:ascii="Cambria Math" w:eastAsia="Book Antiqua" w:hAnsi="Cambria Math" w:cs="Cambria Math"/>
                <w:color w:val="333333"/>
              </w:rPr>
              <w:t>⁺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). La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pendrine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achemine ensuite l'iodure vers la colloïde (zone de stockage). Sous l'action de la TSH, la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thyroglobuline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(Tg) est produite, puis assemblée avec l'iode par la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thyroperoxydase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(TPO) → formation de T4 et T3, exportées dans la circulation via TBG vers les organes cibles.</w:t>
            </w:r>
          </w:p>
          <w:p w14:paraId="109CCDC1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color w:val="333333"/>
              </w:rPr>
              <w:t>⚠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Si production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d'HCl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insuffisante (ex. : inhibiteurs de pompe à protons), l'iode ne peut pas être transformé en ion iodure → trouble de l'absorption thyroïdienne.</w:t>
            </w:r>
          </w:p>
        </w:tc>
      </w:tr>
    </w:tbl>
    <w:p w14:paraId="6A23D593" w14:textId="77777777" w:rsidR="009911B5" w:rsidRPr="00B002E3" w:rsidRDefault="009911B5">
      <w:pPr>
        <w:spacing w:before="20" w:after="10"/>
        <w:rPr>
          <w:rFonts w:ascii="Book Antiqua" w:hAnsi="Book Antiqua"/>
        </w:rPr>
      </w:pPr>
    </w:p>
    <w:p w14:paraId="7BC558B7" w14:textId="77777777" w:rsidR="009911B5" w:rsidRPr="00B002E3" w:rsidRDefault="00840FF2">
      <w:pPr>
        <w:spacing w:before="30" w:after="10"/>
        <w:jc w:val="center"/>
        <w:rPr>
          <w:rFonts w:ascii="Book Antiqua" w:hAnsi="Book Antiqua"/>
        </w:rPr>
      </w:pPr>
      <w:r w:rsidRPr="00B002E3">
        <w:rPr>
          <w:rFonts w:ascii="Book Antiqua" w:hAnsi="Book Antiqua"/>
          <w:noProof/>
        </w:rPr>
        <w:lastRenderedPageBreak/>
        <w:drawing>
          <wp:inline distT="0" distB="0" distL="0" distR="0" wp14:anchorId="66AB44F7" wp14:editId="5381AF51">
            <wp:extent cx="5524500" cy="2257425"/>
            <wp:effectExtent l="0" t="0" r="0" b="0"/>
            <wp:docPr id="1160689460" name="Régulation HT : axe thyréotrope et rétrocontrôle négatif (Pascale Faivre — BioRender)" descr="Régulation HT : axe thyréotrope et rétrocontrôle négatif (Pascale Faivre — BioRender)" title="Régulation HT : axe thyréotrope et rétrocontrôle négatif (Pascale Faivre — BioRend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6F65" w14:textId="77777777" w:rsidR="009911B5" w:rsidRPr="00B002E3" w:rsidRDefault="00840FF2">
      <w:pPr>
        <w:spacing w:after="20"/>
        <w:jc w:val="center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 xml:space="preserve">Régulation HT : axe thyréotrope et rétrocontrôle négatif (Pascale Faivre — </w:t>
      </w:r>
      <w:proofErr w:type="spellStart"/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>BioRender</w:t>
      </w:r>
      <w:proofErr w:type="spellEnd"/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>)</w:t>
      </w:r>
    </w:p>
    <w:p w14:paraId="02636CC2" w14:textId="77777777" w:rsidR="009911B5" w:rsidRPr="00B002E3" w:rsidRDefault="009911B5">
      <w:pPr>
        <w:spacing w:before="10" w:after="10"/>
        <w:rPr>
          <w:rFonts w:ascii="Book Antiqua" w:hAnsi="Book Antiqua"/>
        </w:rPr>
      </w:pPr>
    </w:p>
    <w:p w14:paraId="3B4FF3A4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Cofacteurs indispensables à la synthèse</w:t>
      </w:r>
    </w:p>
    <w:p w14:paraId="0542B805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TPO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Fer, sélénium, zinc,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molybdène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, manganèse, vit D, vit A</w:t>
      </w:r>
    </w:p>
    <w:p w14:paraId="6B9A4F56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Désiodase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(T4→T3)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Fer, sélénium, zinc,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molybdène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, magnésium, vit B6, vit C, vit E</w:t>
      </w:r>
    </w:p>
    <w:p w14:paraId="19E286F0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Iode : </w:t>
      </w:r>
      <w:r w:rsidRPr="00B002E3">
        <w:rPr>
          <w:rFonts w:ascii="Book Antiqua" w:eastAsia="Book Antiqua" w:hAnsi="Book Antiqua" w:cs="Book Antiqua"/>
          <w:sz w:val="22"/>
          <w:szCs w:val="22"/>
        </w:rPr>
        <w:t>ANC adulte : 150 µg/j — enceinte/allaitante : 200 µg/j — conserver en boîte hermétique</w:t>
      </w:r>
    </w:p>
    <w:p w14:paraId="225F5FDC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T3 reverse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Excès si stress, carence sélénium, inflammation → symptômes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d'hypo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malgré T4 normale</w:t>
      </w:r>
    </w:p>
    <w:p w14:paraId="3FED3704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Normes biologiques</w:t>
      </w:r>
    </w:p>
    <w:p w14:paraId="0A6461DC" w14:textId="77777777" w:rsidR="009911B5" w:rsidRPr="00B002E3" w:rsidRDefault="009911B5">
      <w:pPr>
        <w:spacing w:before="20" w:after="40"/>
        <w:rPr>
          <w:rFonts w:ascii="Book Antiqua" w:hAnsi="Book Antiqua"/>
        </w:rPr>
      </w:pP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00"/>
        <w:gridCol w:w="2200"/>
      </w:tblGrid>
      <w:tr w:rsidR="009911B5" w:rsidRPr="00B002E3" w14:paraId="2F46DFAD" w14:textId="77777777"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0ADA63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Marqueur</w:t>
            </w:r>
          </w:p>
        </w:tc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8DAE9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Norme Santé (Dr Claeys)</w:t>
            </w:r>
          </w:p>
        </w:tc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A2F968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Norme laboratoire</w:t>
            </w:r>
          </w:p>
        </w:tc>
      </w:tr>
      <w:tr w:rsidR="009911B5" w:rsidRPr="00B002E3" w14:paraId="55196727" w14:textId="77777777"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FFC1F8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TSH</w:t>
            </w:r>
          </w:p>
        </w:tc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C123EF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0,25 – 1,3 mUI/l</w:t>
            </w:r>
          </w:p>
        </w:tc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C3D53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0,3 – 4,3 mUI/L</w:t>
            </w:r>
          </w:p>
        </w:tc>
      </w:tr>
      <w:tr w:rsidR="009911B5" w:rsidRPr="00B002E3" w14:paraId="6EDA75C3" w14:textId="77777777"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972061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T3 libre</w:t>
            </w:r>
          </w:p>
        </w:tc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C20195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3,5 – 4,5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pmol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/l</w:t>
            </w:r>
          </w:p>
        </w:tc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36A87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3,5 – 6,5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pmol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/l</w:t>
            </w:r>
          </w:p>
        </w:tc>
      </w:tr>
      <w:tr w:rsidR="009911B5" w:rsidRPr="00B002E3" w14:paraId="1F0A921D" w14:textId="77777777"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E4A6EF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T4 libre</w:t>
            </w:r>
          </w:p>
        </w:tc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50AA5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15 – 18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pmol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/l</w:t>
            </w:r>
          </w:p>
        </w:tc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D64465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9 – 26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pmol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/l</w:t>
            </w:r>
          </w:p>
        </w:tc>
      </w:tr>
      <w:tr w:rsidR="009911B5" w:rsidRPr="00B002E3" w14:paraId="570275C9" w14:textId="77777777"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41795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R-T3</w:t>
            </w:r>
          </w:p>
        </w:tc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9A00D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15 – 35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ng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/dl</w:t>
            </w:r>
          </w:p>
        </w:tc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DBC01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—</w:t>
            </w:r>
          </w:p>
        </w:tc>
      </w:tr>
      <w:tr w:rsidR="009911B5" w:rsidRPr="00B002E3" w14:paraId="75105AF1" w14:textId="77777777"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D90CA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Anti-TPO</w:t>
            </w:r>
          </w:p>
        </w:tc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585705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&lt; 34 kUI/l</w:t>
            </w:r>
          </w:p>
        </w:tc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F3927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&lt; 34 kUI/l</w:t>
            </w:r>
          </w:p>
        </w:tc>
      </w:tr>
      <w:tr w:rsidR="009911B5" w:rsidRPr="00B002E3" w14:paraId="20892CD1" w14:textId="77777777"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7DBE39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Anti-Tg</w:t>
            </w:r>
          </w:p>
        </w:tc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74F1F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&lt; 115 kIU/l</w:t>
            </w:r>
          </w:p>
        </w:tc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33DDD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&lt; 115 kIU/l</w:t>
            </w:r>
          </w:p>
        </w:tc>
      </w:tr>
    </w:tbl>
    <w:p w14:paraId="4989061F" w14:textId="77777777" w:rsidR="009911B5" w:rsidRPr="00B002E3" w:rsidRDefault="00840FF2">
      <w:pPr>
        <w:spacing w:before="30" w:after="10"/>
        <w:rPr>
          <w:rFonts w:ascii="Book Antiqua" w:hAnsi="Book Antiqua"/>
        </w:rPr>
      </w:pPr>
      <w:r w:rsidRPr="00B002E3">
        <w:rPr>
          <w:rFonts w:ascii="Apple Color Emoji" w:eastAsia="Book Antiqua" w:hAnsi="Apple Color Emoji" w:cs="Apple Color Emoji"/>
          <w:b/>
          <w:bCs/>
          <w:color w:val="B94040"/>
          <w:sz w:val="21"/>
          <w:szCs w:val="21"/>
        </w:rPr>
        <w:t>⚠</w:t>
      </w:r>
      <w:r w:rsidRPr="00B002E3">
        <w:rPr>
          <w:rFonts w:ascii="Book Antiqua" w:eastAsia="Book Antiqua" w:hAnsi="Book Antiqua" w:cs="Book Antiqua"/>
          <w:b/>
          <w:bCs/>
          <w:color w:val="B94040"/>
          <w:sz w:val="21"/>
          <w:szCs w:val="21"/>
        </w:rPr>
        <w:t xml:space="preserve">  </w:t>
      </w:r>
      <w:r w:rsidRPr="00B002E3">
        <w:rPr>
          <w:rFonts w:ascii="Book Antiqua" w:eastAsia="Book Antiqua" w:hAnsi="Book Antiqua" w:cs="Book Antiqua"/>
          <w:i/>
          <w:iCs/>
          <w:color w:val="B94040"/>
        </w:rPr>
        <w:t>TSH santé ≈ 1,3–1,5 mUI/l — plus la TSH monte, plus le risque de pathologie augmente. La T4 seule ne permet pas de détecter une mauvaise conversion T4→T3.</w:t>
      </w:r>
    </w:p>
    <w:p w14:paraId="28BCB5F2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Dosages supplémentaires — bilan complet selon Dr Claeys</w:t>
      </w:r>
    </w:p>
    <w:p w14:paraId="6A9CC0DB" w14:textId="77777777" w:rsidR="009911B5" w:rsidRPr="00B002E3" w:rsidRDefault="009911B5">
      <w:pPr>
        <w:spacing w:before="20" w:after="4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460"/>
      </w:tblGrid>
      <w:tr w:rsidR="009911B5" w:rsidRPr="00B002E3" w14:paraId="7A665C76" w14:textId="77777777">
        <w:tc>
          <w:tcPr>
            <w:tcW w:w="4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C039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F7764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Dosages classiques — Normes santé (Dr Claeys)</w:t>
            </w:r>
          </w:p>
        </w:tc>
        <w:tc>
          <w:tcPr>
            <w:tcW w:w="44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A527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B3E508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Dosages supplémentaires — Normes santé (Dr Claeys)</w:t>
            </w:r>
          </w:p>
        </w:tc>
      </w:tr>
      <w:tr w:rsidR="009911B5" w:rsidRPr="00B002E3" w14:paraId="45D5B279" w14:textId="77777777">
        <w:tc>
          <w:tcPr>
            <w:tcW w:w="4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CE9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F6251C" w14:textId="77777777" w:rsidR="009911B5" w:rsidRPr="00B002E3" w:rsidRDefault="00840FF2">
            <w:pPr>
              <w:spacing w:before="10"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TSH : 0,25 – 1,3 mUI/L</w:t>
            </w:r>
          </w:p>
          <w:p w14:paraId="54FA81F5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T3 libre : 3,5 – 4,5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pmol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/L</w:t>
            </w:r>
          </w:p>
          <w:p w14:paraId="2958653A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T4 libre : 15 – 18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pmol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/L</w:t>
            </w:r>
          </w:p>
        </w:tc>
        <w:tc>
          <w:tcPr>
            <w:tcW w:w="44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303803" w14:textId="77777777" w:rsidR="009911B5" w:rsidRPr="00B002E3" w:rsidRDefault="00840FF2">
            <w:pPr>
              <w:spacing w:before="10"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T3/TBG : 0,04 – 0,1</w:t>
            </w:r>
          </w:p>
          <w:p w14:paraId="37E1B20B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T3 urinaire : 800 – 2 500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pmol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/24h</w:t>
            </w:r>
          </w:p>
          <w:p w14:paraId="68781980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T4 urinaire : 550 – 3 160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pmol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/24h</w:t>
            </w:r>
          </w:p>
          <w:p w14:paraId="6277249B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Ac anti-TPO &lt; 30 U/mL</w:t>
            </w:r>
          </w:p>
          <w:p w14:paraId="0FC437BC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Ac anti-AT &lt; 30 U/mL</w:t>
            </w:r>
          </w:p>
          <w:p w14:paraId="759AF093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R-T3 : 15 – 35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ng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/dL</w:t>
            </w:r>
          </w:p>
          <w:p w14:paraId="540C29F8" w14:textId="77777777" w:rsidR="009911B5" w:rsidRPr="00B002E3" w:rsidRDefault="00840FF2">
            <w:pPr>
              <w:spacing w:after="12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lastRenderedPageBreak/>
              <w:t>Cortisone (selon le sexe)</w:t>
            </w:r>
          </w:p>
          <w:p w14:paraId="71B2DE97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Iodurie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: 170 – 280 µg/24h</w:t>
            </w:r>
          </w:p>
          <w:p w14:paraId="76123C57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Ferritine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&gt; 100 µg/L</w:t>
            </w:r>
          </w:p>
          <w:p w14:paraId="34A1CE9E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Zinc &gt; 100 µg/dL</w:t>
            </w:r>
          </w:p>
          <w:p w14:paraId="3E80445D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Sélénium : 50 – 150 µg/L</w:t>
            </w:r>
          </w:p>
          <w:p w14:paraId="59CB69C4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Vitamine D : &gt; 40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ng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/mL</w:t>
            </w:r>
          </w:p>
          <w:p w14:paraId="6BA57711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Vitamine B12 : &gt; 300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ng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/mL</w:t>
            </w:r>
          </w:p>
        </w:tc>
      </w:tr>
    </w:tbl>
    <w:p w14:paraId="322CA9FE" w14:textId="77777777" w:rsidR="009911B5" w:rsidRPr="00B002E3" w:rsidRDefault="009911B5">
      <w:pPr>
        <w:spacing w:before="10" w:after="1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0"/>
      </w:tblGrid>
      <w:tr w:rsidR="009911B5" w:rsidRPr="00B002E3" w14:paraId="402EBADB" w14:textId="77777777">
        <w:tc>
          <w:tcPr>
            <w:tcW w:w="0" w:type="auto"/>
            <w:tcBorders>
              <w:top w:val="none" w:sz="0" w:space="0" w:color="FFFFFF"/>
              <w:left w:val="single" w:sz="18" w:space="0" w:color="E8967A"/>
              <w:bottom w:val="none" w:sz="0" w:space="0" w:color="FFFFFF"/>
              <w:right w:val="none" w:sz="0" w:space="0" w:color="FFFFFF"/>
            </w:tcBorders>
            <w:shd w:val="clear" w:color="auto" w:fill="FFF8E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824D89" w14:textId="77777777" w:rsidR="009911B5" w:rsidRPr="00B002E3" w:rsidRDefault="00840FF2">
            <w:pPr>
              <w:spacing w:after="30"/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b/>
                <w:bCs/>
                <w:color w:val="E8967A"/>
              </w:rPr>
              <w:t>📝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E8967A"/>
              </w:rPr>
              <w:t xml:space="preserve">  Note de cours</w:t>
            </w:r>
          </w:p>
          <w:p w14:paraId="7FE57FEB" w14:textId="77777777" w:rsidR="009911B5" w:rsidRPr="00B002E3" w:rsidRDefault="00840FF2">
            <w:pPr>
              <w:spacing w:after="10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La TSH ne renseigne pas bien sur une hypothyroïdie intracellulaire : la TSH peut être normale, T4 normale, mais si T3 est abaissée de seulement 30 %, cela représente une diminution de 80 % en intracellulaire → hypothyroïdie intracellulaire non détectée par le bilan classique.</w:t>
            </w:r>
          </w:p>
          <w:p w14:paraId="22696404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Toujours demander T3L en plus de TSH et T4L. En Belgique, les T3 et T4 urinaires sont très utilisées.</w:t>
            </w:r>
          </w:p>
        </w:tc>
      </w:tr>
    </w:tbl>
    <w:p w14:paraId="1A455FDF" w14:textId="77777777" w:rsidR="00F3106E" w:rsidRPr="00B002E3" w:rsidRDefault="00F3106E">
      <w:pPr>
        <w:spacing w:before="20" w:after="20"/>
        <w:rPr>
          <w:rFonts w:ascii="Book Antiqua" w:hAnsi="Book Antiqua"/>
        </w:rPr>
      </w:pPr>
    </w:p>
    <w:p w14:paraId="24D098A9" w14:textId="77777777" w:rsidR="00181F14" w:rsidRPr="00B002E3" w:rsidRDefault="00181F14">
      <w:pPr>
        <w:spacing w:before="20" w:after="20"/>
        <w:rPr>
          <w:rFonts w:ascii="Book Antiqua" w:hAnsi="Book Antiqua"/>
        </w:rPr>
      </w:pPr>
    </w:p>
    <w:p w14:paraId="6D99BA67" w14:textId="77777777" w:rsidR="00181F14" w:rsidRPr="00B002E3" w:rsidRDefault="00181F14">
      <w:pPr>
        <w:spacing w:before="20" w:after="20"/>
        <w:rPr>
          <w:rFonts w:ascii="Book Antiqua" w:hAnsi="Book Antiqua"/>
        </w:rPr>
      </w:pPr>
    </w:p>
    <w:p w14:paraId="69FDBBE9" w14:textId="77777777" w:rsidR="009911B5" w:rsidRPr="00B002E3" w:rsidRDefault="00840FF2">
      <w:pPr>
        <w:spacing w:before="240" w:after="8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30"/>
          <w:szCs w:val="30"/>
        </w:rPr>
        <w:t xml:space="preserve">2. </w:t>
      </w:r>
      <w:r w:rsidRPr="00B002E3">
        <w:rPr>
          <w:rFonts w:ascii="Book Antiqua" w:eastAsia="Book Antiqua" w:hAnsi="Book Antiqua" w:cs="Book Antiqua"/>
          <w:b/>
          <w:bCs/>
          <w:color w:val="1F3864"/>
          <w:sz w:val="30"/>
          <w:szCs w:val="30"/>
        </w:rPr>
        <w:t>CLASSIFICATION DES THYROÏDITES</w:t>
      </w:r>
    </w:p>
    <w:p w14:paraId="461EB668" w14:textId="77777777" w:rsidR="009911B5" w:rsidRPr="00B002E3" w:rsidRDefault="009911B5">
      <w:pPr>
        <w:pBdr>
          <w:bottom w:val="single" w:sz="4" w:space="1" w:color="2E6DA4"/>
        </w:pBdr>
        <w:spacing w:before="40" w:after="40"/>
        <w:rPr>
          <w:rFonts w:ascii="Book Antiqua" w:hAnsi="Book Antiqua"/>
        </w:rPr>
      </w:pPr>
    </w:p>
    <w:p w14:paraId="234888AD" w14:textId="77777777" w:rsidR="009911B5" w:rsidRPr="00B002E3" w:rsidRDefault="00840FF2">
      <w:pPr>
        <w:spacing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1F3864"/>
          <w:sz w:val="22"/>
          <w:szCs w:val="22"/>
        </w:rPr>
        <w:t xml:space="preserve">Définition : </w:t>
      </w:r>
      <w:r w:rsidRPr="00B002E3">
        <w:rPr>
          <w:rFonts w:ascii="Book Antiqua" w:eastAsia="Book Antiqua" w:hAnsi="Book Antiqua" w:cs="Book Antiqua"/>
          <w:sz w:val="22"/>
          <w:szCs w:val="22"/>
        </w:rPr>
        <w:t>Inflammation de la thyroïde d'origine infectieuse, inflammatoire ou auto-immune.</w:t>
      </w:r>
    </w:p>
    <w:p w14:paraId="30B026F8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4 présentations cliniques à identifier en entretien</w:t>
      </w:r>
    </w:p>
    <w:p w14:paraId="70D3D4ED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Douleur / inflammation :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Cervicalgies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, otalgie, dysphagie, fièvre, asthénie</w:t>
      </w:r>
    </w:p>
    <w:p w14:paraId="099C8A54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Dysfonction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hormonale : </w:t>
      </w:r>
      <w:r w:rsidRPr="00B002E3">
        <w:rPr>
          <w:rFonts w:ascii="Book Antiqua" w:eastAsia="Book Antiqua" w:hAnsi="Book Antiqua" w:cs="Book Antiqua"/>
          <w:sz w:val="22"/>
          <w:szCs w:val="22"/>
        </w:rPr>
        <w:t>Hyperthyroïdie ou hypothyroïdie (cf. tableau des symptômes)</w:t>
      </w:r>
    </w:p>
    <w:p w14:paraId="55736027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Goitre / nodule : </w:t>
      </w:r>
      <w:r w:rsidRPr="00B002E3">
        <w:rPr>
          <w:rFonts w:ascii="Book Antiqua" w:eastAsia="Book Antiqua" w:hAnsi="Book Antiqua" w:cs="Book Antiqua"/>
          <w:sz w:val="22"/>
          <w:szCs w:val="22"/>
        </w:rPr>
        <w:t>Présent dans ~50 % des cas</w:t>
      </w:r>
    </w:p>
    <w:p w14:paraId="463C9561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Auto-immunité : </w:t>
      </w:r>
      <w:r w:rsidRPr="00B002E3">
        <w:rPr>
          <w:rFonts w:ascii="Book Antiqua" w:eastAsia="Book Antiqua" w:hAnsi="Book Antiqua" w:cs="Book Antiqua"/>
          <w:sz w:val="22"/>
          <w:szCs w:val="22"/>
        </w:rPr>
        <w:t>Présence d'Ac anti-TPO, anti-Tg, TRAK</w:t>
      </w:r>
    </w:p>
    <w:p w14:paraId="1D3B8295" w14:textId="77777777" w:rsidR="009911B5" w:rsidRPr="00B002E3" w:rsidRDefault="009911B5">
      <w:pPr>
        <w:spacing w:before="30" w:after="6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400"/>
        <w:gridCol w:w="2160"/>
      </w:tblGrid>
      <w:tr w:rsidR="009911B5" w:rsidRPr="00B002E3" w14:paraId="540EB177" w14:textId="77777777">
        <w:trPr>
          <w:tblHeader/>
        </w:trPr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8" w:space="0" w:color="E8967A"/>
              <w:right w:val="single" w:sz="2" w:space="0" w:color="C8D8E8"/>
            </w:tcBorders>
            <w:shd w:val="clear" w:color="auto" w:fill="1F38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F0D4787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8" w:space="0" w:color="E8967A"/>
              <w:right w:val="single" w:sz="2" w:space="0" w:color="C8D8E8"/>
            </w:tcBorders>
            <w:shd w:val="clear" w:color="auto" w:fill="1F38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7DBEC4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BIOLOGIE</w:t>
            </w:r>
          </w:p>
        </w:tc>
        <w:tc>
          <w:tcPr>
            <w:tcW w:w="2400" w:type="dxa"/>
            <w:tcBorders>
              <w:top w:val="single" w:sz="6" w:space="0" w:color="1F3864"/>
              <w:left w:val="single" w:sz="6" w:space="0" w:color="1F3864"/>
              <w:bottom w:val="single" w:sz="8" w:space="0" w:color="E8967A"/>
              <w:right w:val="single" w:sz="2" w:space="0" w:color="C8D8E8"/>
            </w:tcBorders>
            <w:shd w:val="clear" w:color="auto" w:fill="1F38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0C2BEF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CLINIQUE</w:t>
            </w:r>
          </w:p>
        </w:tc>
        <w:tc>
          <w:tcPr>
            <w:tcW w:w="2160" w:type="dxa"/>
            <w:tcBorders>
              <w:top w:val="single" w:sz="6" w:space="0" w:color="1F3864"/>
              <w:left w:val="single" w:sz="2" w:space="0" w:color="C8D8E8"/>
              <w:bottom w:val="single" w:sz="8" w:space="0" w:color="E8967A"/>
              <w:right w:val="single" w:sz="6" w:space="0" w:color="1F3864"/>
            </w:tcBorders>
            <w:shd w:val="clear" w:color="auto" w:fill="1F38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7FE5BA5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ÉVOLUTION</w:t>
            </w:r>
          </w:p>
        </w:tc>
      </w:tr>
      <w:tr w:rsidR="009911B5" w:rsidRPr="00B002E3" w14:paraId="489504CD" w14:textId="77777777">
        <w:tc>
          <w:tcPr>
            <w:tcW w:w="2200" w:type="dxa"/>
            <w:tcBorders>
              <w:top w:val="single" w:sz="8" w:space="0" w:color="1565A0"/>
              <w:left w:val="single" w:sz="12" w:space="0" w:color="1565A0"/>
              <w:bottom w:val="single" w:sz="10" w:space="0" w:color="1565A0"/>
              <w:right w:val="single" w:sz="2" w:space="0" w:color="D0D0D0"/>
            </w:tcBorders>
            <w:shd w:val="clear" w:color="auto" w:fill="E3F2FD"/>
            <w:tcMar>
              <w:top w:w="110" w:type="dxa"/>
              <w:left w:w="160" w:type="dxa"/>
              <w:bottom w:w="110" w:type="dxa"/>
              <w:right w:w="130" w:type="dxa"/>
            </w:tcMar>
          </w:tcPr>
          <w:p w14:paraId="52BB0AFB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565A0"/>
                <w:sz w:val="22"/>
                <w:szCs w:val="22"/>
              </w:rPr>
              <w:t>Aiguë</w:t>
            </w:r>
          </w:p>
          <w:p w14:paraId="6CA11679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i/>
                <w:iCs/>
                <w:color w:val="666666"/>
                <w:sz w:val="18"/>
                <w:szCs w:val="18"/>
              </w:rPr>
              <w:t>Infectieuse / bactérienne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1565A0"/>
              <w:bottom w:val="single" w:sz="10" w:space="0" w:color="1565A0"/>
              <w:right w:val="single" w:sz="2" w:space="0" w:color="D0D0D0"/>
            </w:tcBorders>
            <w:shd w:val="clear" w:color="auto" w:fill="F0F7FF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7AE8113F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565A0"/>
              </w:rPr>
              <w:t xml:space="preserve">VS/CRP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Élevés</w:t>
            </w:r>
          </w:p>
          <w:p w14:paraId="33EA904E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565A0"/>
              </w:rPr>
              <w:t xml:space="preserve">Fonction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Normale</w:t>
            </w:r>
          </w:p>
          <w:p w14:paraId="48AEC1E6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565A0"/>
              </w:rPr>
              <w:t xml:space="preserve">Anticorps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Absents</w:t>
            </w:r>
          </w:p>
          <w:p w14:paraId="73516BEB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565A0"/>
              </w:rPr>
              <w:t xml:space="preserve">Microbiologie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Bactéries, parasites, champignons</w:t>
            </w:r>
          </w:p>
        </w:tc>
        <w:tc>
          <w:tcPr>
            <w:tcW w:w="2400" w:type="dxa"/>
            <w:tcBorders>
              <w:top w:val="single" w:sz="2" w:space="0" w:color="D0D0D0"/>
              <w:left w:val="single" w:sz="2" w:space="0" w:color="1565A0"/>
              <w:bottom w:val="single" w:sz="10" w:space="0" w:color="1565A0"/>
              <w:right w:val="single" w:sz="2" w:space="0" w:color="D0D0D0"/>
            </w:tcBorders>
            <w:shd w:val="clear" w:color="auto" w:fill="F0F7FF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15A60EA2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565A0"/>
              </w:rPr>
              <w:t xml:space="preserve">Douleur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Oui — cervicale</w:t>
            </w:r>
          </w:p>
          <w:p w14:paraId="1E8C24DC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565A0"/>
              </w:rPr>
              <w:t xml:space="preserve">Irradiation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Rare</w:t>
            </w:r>
          </w:p>
          <w:p w14:paraId="016ED4C2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1565A0"/>
              </w:rPr>
              <w:t>Diag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1565A0"/>
              </w:rPr>
              <w:t xml:space="preserve">. diff.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Kyste, abcès pharyngé</w:t>
            </w:r>
          </w:p>
        </w:tc>
        <w:tc>
          <w:tcPr>
            <w:tcW w:w="2160" w:type="dxa"/>
            <w:tcBorders>
              <w:top w:val="single" w:sz="2" w:space="0" w:color="D0D0D0"/>
              <w:left w:val="single" w:sz="2" w:space="0" w:color="1565A0"/>
              <w:bottom w:val="single" w:sz="10" w:space="0" w:color="1565A0"/>
              <w:right w:val="single" w:sz="12" w:space="0" w:color="D0D0D0"/>
            </w:tcBorders>
            <w:shd w:val="clear" w:color="auto" w:fill="F0F7FF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13E4B8DF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Segoe UI Symbol" w:eastAsia="Book Antiqua" w:hAnsi="Segoe UI Symbol" w:cs="Segoe UI Symbol"/>
                <w:b/>
                <w:bCs/>
                <w:color w:val="2E7D32"/>
              </w:rPr>
              <w:t>✓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 Guérison</w:t>
            </w:r>
          </w:p>
        </w:tc>
      </w:tr>
      <w:tr w:rsidR="009911B5" w:rsidRPr="00B002E3" w14:paraId="7F9AE304" w14:textId="77777777">
        <w:tc>
          <w:tcPr>
            <w:tcW w:w="2200" w:type="dxa"/>
            <w:tcBorders>
              <w:top w:val="single" w:sz="8" w:space="0" w:color="C0600A"/>
              <w:left w:val="single" w:sz="12" w:space="0" w:color="C0600A"/>
              <w:bottom w:val="single" w:sz="10" w:space="0" w:color="C0600A"/>
              <w:right w:val="single" w:sz="2" w:space="0" w:color="D0D0D0"/>
            </w:tcBorders>
            <w:shd w:val="clear" w:color="auto" w:fill="FFF3E0"/>
            <w:tcMar>
              <w:top w:w="110" w:type="dxa"/>
              <w:left w:w="160" w:type="dxa"/>
              <w:bottom w:w="110" w:type="dxa"/>
              <w:right w:w="130" w:type="dxa"/>
            </w:tcMar>
          </w:tcPr>
          <w:p w14:paraId="17E5FDE3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  <w:sz w:val="22"/>
                <w:szCs w:val="22"/>
              </w:rPr>
              <w:t xml:space="preserve">Subaiguë de </w:t>
            </w: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  <w:sz w:val="22"/>
                <w:szCs w:val="22"/>
              </w:rPr>
              <w:t>Quervain</w:t>
            </w:r>
            <w:proofErr w:type="spellEnd"/>
          </w:p>
          <w:p w14:paraId="6D499B52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i/>
                <w:iCs/>
                <w:color w:val="666666"/>
                <w:sz w:val="18"/>
                <w:szCs w:val="18"/>
              </w:rPr>
              <w:t>Post-virale ORL — « Grippe de la thyroïde »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C0600A"/>
              <w:bottom w:val="single" w:sz="10" w:space="0" w:color="C0600A"/>
              <w:right w:val="single" w:sz="2" w:space="0" w:color="D0D0D0"/>
            </w:tcBorders>
            <w:shd w:val="clear" w:color="auto" w:fill="FFFBF5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3BD878EC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</w:rPr>
              <w:t xml:space="preserve">VS/CRP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Élevés</w:t>
            </w:r>
          </w:p>
          <w:p w14:paraId="7AA3D15E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</w:rPr>
              <w:t xml:space="preserve">Fonction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Hyperthyroïdie initiale puis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Hypo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(¾ cas)</w:t>
            </w:r>
          </w:p>
          <w:p w14:paraId="79A408F8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</w:rPr>
              <w:t xml:space="preserve">Anticorps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Absents (le plus souvent)</w:t>
            </w:r>
          </w:p>
          <w:p w14:paraId="24F8FBAB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</w:rPr>
              <w:t xml:space="preserve">Microbiologie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Sérologie virale ?</w:t>
            </w:r>
          </w:p>
        </w:tc>
        <w:tc>
          <w:tcPr>
            <w:tcW w:w="2400" w:type="dxa"/>
            <w:tcBorders>
              <w:top w:val="single" w:sz="2" w:space="0" w:color="D0D0D0"/>
              <w:left w:val="single" w:sz="2" w:space="0" w:color="C0600A"/>
              <w:bottom w:val="single" w:sz="10" w:space="0" w:color="C0600A"/>
              <w:right w:val="single" w:sz="2" w:space="0" w:color="D0D0D0"/>
            </w:tcBorders>
            <w:shd w:val="clear" w:color="auto" w:fill="FFFBF5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7EDBA669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</w:rPr>
              <w:t xml:space="preserve">Douleur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Oui — goitre asymétrique ferme + syndrome grippal</w:t>
            </w:r>
          </w:p>
          <w:p w14:paraId="4B8BFB70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</w:rPr>
              <w:t xml:space="preserve">Irradiation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Oreilles, dents</w:t>
            </w:r>
          </w:p>
          <w:p w14:paraId="5439C3BD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</w:rPr>
              <w:t>Diag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</w:rPr>
              <w:t xml:space="preserve">. diff.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Kyste, angine, abcès, carcinome</w:t>
            </w:r>
          </w:p>
          <w:p w14:paraId="47171183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C0600A"/>
              </w:rPr>
              <w:t xml:space="preserve">Traitement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AINS, corticoïdes</w:t>
            </w:r>
          </w:p>
        </w:tc>
        <w:tc>
          <w:tcPr>
            <w:tcW w:w="2160" w:type="dxa"/>
            <w:tcBorders>
              <w:top w:val="single" w:sz="2" w:space="0" w:color="D0D0D0"/>
              <w:left w:val="single" w:sz="2" w:space="0" w:color="C0600A"/>
              <w:bottom w:val="single" w:sz="10" w:space="0" w:color="C0600A"/>
              <w:right w:val="single" w:sz="12" w:space="0" w:color="D0D0D0"/>
            </w:tcBorders>
            <w:shd w:val="clear" w:color="auto" w:fill="FFFBF5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5B079EFD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Récidives fréquentes</w:t>
            </w:r>
          </w:p>
          <w:p w14:paraId="4E6B25ED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Très faible risque hypothyroïdie définitive</w:t>
            </w:r>
          </w:p>
        </w:tc>
      </w:tr>
      <w:tr w:rsidR="009911B5" w:rsidRPr="00B002E3" w14:paraId="7A41CF6A" w14:textId="77777777">
        <w:tc>
          <w:tcPr>
            <w:tcW w:w="2200" w:type="dxa"/>
            <w:tcBorders>
              <w:top w:val="single" w:sz="8" w:space="0" w:color="7B1FA2"/>
              <w:left w:val="single" w:sz="12" w:space="0" w:color="7B1FA2"/>
              <w:bottom w:val="single" w:sz="10" w:space="0" w:color="7B1FA2"/>
              <w:right w:val="single" w:sz="2" w:space="0" w:color="D0D0D0"/>
            </w:tcBorders>
            <w:shd w:val="clear" w:color="auto" w:fill="F3E5F5"/>
            <w:tcMar>
              <w:top w:w="110" w:type="dxa"/>
              <w:left w:w="160" w:type="dxa"/>
              <w:bottom w:w="110" w:type="dxa"/>
              <w:right w:w="130" w:type="dxa"/>
            </w:tcMar>
          </w:tcPr>
          <w:p w14:paraId="7403FC32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  <w:sz w:val="22"/>
                <w:szCs w:val="22"/>
              </w:rPr>
              <w:lastRenderedPageBreak/>
              <w:t>Subaiguë lymphocytaire</w:t>
            </w:r>
          </w:p>
          <w:p w14:paraId="57EF1202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i/>
                <w:iCs/>
                <w:color w:val="666666"/>
                <w:sz w:val="18"/>
                <w:szCs w:val="18"/>
              </w:rPr>
              <w:t>Silencieuse — Post-partum (6 % des grossesses)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7B1FA2"/>
              <w:bottom w:val="single" w:sz="10" w:space="0" w:color="7B1FA2"/>
              <w:right w:val="single" w:sz="2" w:space="0" w:color="D0D0D0"/>
            </w:tcBorders>
            <w:shd w:val="clear" w:color="auto" w:fill="FAF4FC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0992BCB5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 xml:space="preserve">VS/CRP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Non élevés</w:t>
            </w:r>
          </w:p>
          <w:p w14:paraId="5D5E2765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 xml:space="preserve">Fonction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Hyper → parfois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Hypo</w:t>
            </w:r>
            <w:proofErr w:type="spellEnd"/>
          </w:p>
          <w:p w14:paraId="001A3E03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 xml:space="preserve">Anticorps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Présents (anti-thyroïdiens)</w:t>
            </w:r>
          </w:p>
          <w:p w14:paraId="09C9B749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 xml:space="preserve">Microbiologie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Négative</w:t>
            </w:r>
          </w:p>
        </w:tc>
        <w:tc>
          <w:tcPr>
            <w:tcW w:w="2400" w:type="dxa"/>
            <w:tcBorders>
              <w:top w:val="single" w:sz="2" w:space="0" w:color="D0D0D0"/>
              <w:left w:val="single" w:sz="2" w:space="0" w:color="7B1FA2"/>
              <w:bottom w:val="single" w:sz="10" w:space="0" w:color="7B1FA2"/>
              <w:right w:val="single" w:sz="2" w:space="0" w:color="D0D0D0"/>
            </w:tcBorders>
            <w:shd w:val="clear" w:color="auto" w:fill="FAF4FC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1A8915DC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 xml:space="preserve">Douleur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Non</w:t>
            </w:r>
          </w:p>
          <w:p w14:paraId="18184C77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 xml:space="preserve">Post-partum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Hyper vers 2ème mois →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Hypo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vers 3–6ème mois</w:t>
            </w:r>
          </w:p>
          <w:p w14:paraId="773A3A9F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 xml:space="preserve">Mère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Pré-éclampsie, hémorragie post-partum</w:t>
            </w:r>
          </w:p>
          <w:p w14:paraId="0FE7CF9A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 xml:space="preserve">Fœtus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Hypotrophie, anomalie développement cérébral</w:t>
            </w:r>
          </w:p>
          <w:p w14:paraId="4B13FCF8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>Diag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7B1FA2"/>
              </w:rPr>
              <w:t xml:space="preserve">. diff.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Maladie de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Basedow</w:t>
            </w:r>
            <w:proofErr w:type="spellEnd"/>
          </w:p>
        </w:tc>
        <w:tc>
          <w:tcPr>
            <w:tcW w:w="2160" w:type="dxa"/>
            <w:tcBorders>
              <w:top w:val="single" w:sz="2" w:space="0" w:color="D0D0D0"/>
              <w:left w:val="single" w:sz="2" w:space="0" w:color="7B1FA2"/>
              <w:bottom w:val="single" w:sz="10" w:space="0" w:color="7B1FA2"/>
              <w:right w:val="single" w:sz="12" w:space="0" w:color="D0D0D0"/>
            </w:tcBorders>
            <w:shd w:val="clear" w:color="auto" w:fill="FAF4FC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58DC8E82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Transitoire &lt; 1 an</w:t>
            </w:r>
          </w:p>
          <w:p w14:paraId="2053F7F5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Récidive : 40 % des cas</w:t>
            </w:r>
          </w:p>
          <w:p w14:paraId="505C269A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Définitive : 20 % des cas</w:t>
            </w:r>
          </w:p>
        </w:tc>
      </w:tr>
      <w:tr w:rsidR="009911B5" w:rsidRPr="00B002E3" w14:paraId="13680A24" w14:textId="77777777">
        <w:tc>
          <w:tcPr>
            <w:tcW w:w="2200" w:type="dxa"/>
            <w:tcBorders>
              <w:top w:val="single" w:sz="8" w:space="0" w:color="2E7D32"/>
              <w:left w:val="single" w:sz="12" w:space="0" w:color="2E7D32"/>
              <w:bottom w:val="single" w:sz="10" w:space="0" w:color="2E7D32"/>
              <w:right w:val="single" w:sz="2" w:space="0" w:color="D0D0D0"/>
            </w:tcBorders>
            <w:shd w:val="clear" w:color="auto" w:fill="E8F5E9"/>
            <w:tcMar>
              <w:top w:w="110" w:type="dxa"/>
              <w:left w:w="160" w:type="dxa"/>
              <w:bottom w:w="110" w:type="dxa"/>
              <w:right w:w="130" w:type="dxa"/>
            </w:tcMar>
          </w:tcPr>
          <w:p w14:paraId="49BEFDCF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  <w:sz w:val="22"/>
                <w:szCs w:val="22"/>
              </w:rPr>
              <w:t>De Hashimoto</w:t>
            </w:r>
          </w:p>
          <w:p w14:paraId="3F1BC20B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i/>
                <w:iCs/>
                <w:color w:val="666666"/>
                <w:sz w:val="18"/>
                <w:szCs w:val="18"/>
              </w:rPr>
              <w:t>MAI chronique lymphocytaire — 15 % de la population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2E7D32"/>
              <w:bottom w:val="single" w:sz="10" w:space="0" w:color="2E7D32"/>
              <w:right w:val="single" w:sz="2" w:space="0" w:color="D0D0D0"/>
            </w:tcBorders>
            <w:shd w:val="clear" w:color="auto" w:fill="F4FBF4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26F003A7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VS/CRP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Exceptionnel</w:t>
            </w:r>
          </w:p>
          <w:p w14:paraId="60C8E778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Ac anti-TPO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Présents — 90 % des cas (&lt; 34 kUI/L)</w:t>
            </w:r>
          </w:p>
          <w:p w14:paraId="1664E394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Ac anti-Tg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Présents — 20–50 % des cas (&lt; 115 kIU/L)</w:t>
            </w:r>
          </w:p>
          <w:p w14:paraId="377B5758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Fonction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Normale puis hypothyroïdie progressive</w:t>
            </w:r>
          </w:p>
          <w:p w14:paraId="11D295C0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TSH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Surveiller &gt; 1,3 mUI/l</w:t>
            </w:r>
          </w:p>
        </w:tc>
        <w:tc>
          <w:tcPr>
            <w:tcW w:w="2400" w:type="dxa"/>
            <w:tcBorders>
              <w:top w:val="single" w:sz="2" w:space="0" w:color="D0D0D0"/>
              <w:left w:val="single" w:sz="2" w:space="0" w:color="2E7D32"/>
              <w:bottom w:val="single" w:sz="10" w:space="0" w:color="2E7D32"/>
              <w:right w:val="single" w:sz="2" w:space="0" w:color="D0D0D0"/>
            </w:tcBorders>
            <w:shd w:val="clear" w:color="auto" w:fill="F4FBF4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56C7A4DD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Douleur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Très rare</w:t>
            </w:r>
          </w:p>
          <w:p w14:paraId="440CA261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>Hashitoxicose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Phase hyper transitoire initiale (montagnes russes)</w:t>
            </w:r>
          </w:p>
          <w:p w14:paraId="33BE32E3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Génétique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HLA B8DR3 — femme 30–60 ans</w:t>
            </w:r>
          </w:p>
          <w:p w14:paraId="22B30B87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Terrain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Stress, vit D↓, gluten (80 %),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dysbiose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(50 %)</w:t>
            </w:r>
          </w:p>
          <w:p w14:paraId="49CE0472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>Co-path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2E7D32"/>
              </w:rPr>
              <w:t xml:space="preserve">. :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Biermer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, lupus, PR, SOPK,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insuff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. surrénale</w:t>
            </w:r>
          </w:p>
        </w:tc>
        <w:tc>
          <w:tcPr>
            <w:tcW w:w="2160" w:type="dxa"/>
            <w:tcBorders>
              <w:top w:val="single" w:sz="2" w:space="0" w:color="D0D0D0"/>
              <w:left w:val="single" w:sz="2" w:space="0" w:color="2E7D32"/>
              <w:bottom w:val="single" w:sz="10" w:space="0" w:color="2E7D32"/>
              <w:right w:val="single" w:sz="12" w:space="0" w:color="D0D0D0"/>
            </w:tcBorders>
            <w:shd w:val="clear" w:color="auto" w:fill="F4FBF4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7F8D7169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Goitre puis atrophie</w:t>
            </w:r>
          </w:p>
          <w:p w14:paraId="7044CDD7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Hypothyroïdie définitive</w:t>
            </w:r>
          </w:p>
          <w:p w14:paraId="1A99A552" w14:textId="77777777" w:rsidR="009911B5" w:rsidRPr="00B002E3" w:rsidRDefault="00840FF2">
            <w:pPr>
              <w:spacing w:before="10"/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b/>
                <w:bCs/>
                <w:color w:val="B94040"/>
                <w:sz w:val="19"/>
                <w:szCs w:val="19"/>
              </w:rPr>
              <w:t>⚠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B94040"/>
                <w:sz w:val="19"/>
                <w:szCs w:val="19"/>
              </w:rPr>
              <w:t xml:space="preserve"> Fatigue </w:t>
            </w: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B94040"/>
                <w:sz w:val="19"/>
                <w:szCs w:val="19"/>
              </w:rPr>
              <w:t>surrénalienne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B94040"/>
                <w:sz w:val="19"/>
                <w:szCs w:val="19"/>
              </w:rPr>
              <w:t xml:space="preserve"> dans 90 % des cas</w:t>
            </w:r>
          </w:p>
        </w:tc>
      </w:tr>
      <w:tr w:rsidR="009911B5" w:rsidRPr="00B002E3" w14:paraId="3D1B0747" w14:textId="77777777">
        <w:tc>
          <w:tcPr>
            <w:tcW w:w="2200" w:type="dxa"/>
            <w:tcBorders>
              <w:top w:val="single" w:sz="8" w:space="0" w:color="E65100"/>
              <w:left w:val="single" w:sz="12" w:space="0" w:color="E65100"/>
              <w:bottom w:val="single" w:sz="10" w:space="0" w:color="E65100"/>
              <w:right w:val="single" w:sz="2" w:space="0" w:color="D0D0D0"/>
            </w:tcBorders>
            <w:shd w:val="clear" w:color="auto" w:fill="FBE9E7"/>
            <w:tcMar>
              <w:top w:w="110" w:type="dxa"/>
              <w:left w:w="160" w:type="dxa"/>
              <w:bottom w:w="110" w:type="dxa"/>
              <w:right w:w="130" w:type="dxa"/>
            </w:tcMar>
          </w:tcPr>
          <w:p w14:paraId="1959C845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  <w:sz w:val="22"/>
                <w:szCs w:val="22"/>
              </w:rPr>
              <w:t xml:space="preserve">Maladie de </w:t>
            </w: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  <w:sz w:val="22"/>
                <w:szCs w:val="22"/>
              </w:rPr>
              <w:t>Basedow</w:t>
            </w:r>
            <w:proofErr w:type="spellEnd"/>
          </w:p>
          <w:p w14:paraId="2464B398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i/>
                <w:iCs/>
                <w:color w:val="666666"/>
                <w:sz w:val="18"/>
                <w:szCs w:val="18"/>
              </w:rPr>
              <w:t>MAI — goitre toxique diffus — 10 femmes / 1 homme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E65100"/>
              <w:bottom w:val="single" w:sz="10" w:space="0" w:color="E65100"/>
              <w:right w:val="single" w:sz="2" w:space="0" w:color="D0D0D0"/>
            </w:tcBorders>
            <w:shd w:val="clear" w:color="auto" w:fill="FEF6F4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464A8E5B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TRAK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Présents — Ac stimulants anti-RTSH</w:t>
            </w:r>
          </w:p>
          <w:p w14:paraId="3544257B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TSH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Basse — rétrocontrôle inefficace</w:t>
            </w:r>
          </w:p>
          <w:p w14:paraId="125EB328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T3/T4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Élevées de façon persistante</w:t>
            </w:r>
          </w:p>
          <w:p w14:paraId="560BC658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VS/CRP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Variables</w:t>
            </w:r>
          </w:p>
        </w:tc>
        <w:tc>
          <w:tcPr>
            <w:tcW w:w="2400" w:type="dxa"/>
            <w:tcBorders>
              <w:top w:val="single" w:sz="2" w:space="0" w:color="D0D0D0"/>
              <w:left w:val="single" w:sz="2" w:space="0" w:color="E65100"/>
              <w:bottom w:val="single" w:sz="10" w:space="0" w:color="E65100"/>
              <w:right w:val="single" w:sz="2" w:space="0" w:color="D0D0D0"/>
            </w:tcBorders>
            <w:shd w:val="clear" w:color="auto" w:fill="FEF6F4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1CC4FC62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Déclencheurs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Stress, infection, grossesse</w:t>
            </w:r>
          </w:p>
          <w:p w14:paraId="4C12E9FB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>Orbitopathie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 :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Exophtalmie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— atteinte rétro-orbitaire</w:t>
            </w:r>
          </w:p>
          <w:p w14:paraId="0CA72CBC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Mimétisme mol. :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Yersinia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enterocolitica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/ récepteur TSH</w:t>
            </w:r>
          </w:p>
          <w:p w14:paraId="046BE704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Tabac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Facteur de risque ET évolution plus sévère</w:t>
            </w:r>
          </w:p>
          <w:p w14:paraId="3A8A3934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>Co-path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.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Vitiligo,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Gougerot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Biermer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, diabète</w:t>
            </w:r>
          </w:p>
        </w:tc>
        <w:tc>
          <w:tcPr>
            <w:tcW w:w="2160" w:type="dxa"/>
            <w:tcBorders>
              <w:top w:val="single" w:sz="2" w:space="0" w:color="D0D0D0"/>
              <w:left w:val="single" w:sz="2" w:space="0" w:color="E65100"/>
              <w:bottom w:val="single" w:sz="10" w:space="0" w:color="E65100"/>
              <w:right w:val="single" w:sz="12" w:space="0" w:color="D0D0D0"/>
            </w:tcBorders>
            <w:shd w:val="clear" w:color="auto" w:fill="FEF6F4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63C154EF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Hyperthyroïdie persistante</w:t>
            </w:r>
          </w:p>
          <w:p w14:paraId="0AE434E3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Possible transition → Hashimoto</w:t>
            </w:r>
          </w:p>
          <w:p w14:paraId="6FCD96B1" w14:textId="77777777" w:rsidR="009911B5" w:rsidRPr="00B002E3" w:rsidRDefault="00840FF2">
            <w:pPr>
              <w:spacing w:before="8"/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b/>
                <w:bCs/>
                <w:color w:val="B94040"/>
                <w:sz w:val="19"/>
                <w:szCs w:val="19"/>
              </w:rPr>
              <w:t>⚠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B94040"/>
                <w:sz w:val="19"/>
                <w:szCs w:val="19"/>
              </w:rPr>
              <w:t xml:space="preserve"> Prise en charge médicale obligatoire</w:t>
            </w:r>
          </w:p>
        </w:tc>
      </w:tr>
      <w:tr w:rsidR="009911B5" w:rsidRPr="00B002E3" w14:paraId="2E3DECD1" w14:textId="77777777">
        <w:tc>
          <w:tcPr>
            <w:tcW w:w="2200" w:type="dxa"/>
            <w:tcBorders>
              <w:top w:val="single" w:sz="8" w:space="0" w:color="B71C1C"/>
              <w:left w:val="single" w:sz="12" w:space="0" w:color="B71C1C"/>
              <w:bottom w:val="single" w:sz="10" w:space="0" w:color="B71C1C"/>
              <w:right w:val="single" w:sz="2" w:space="0" w:color="D0D0D0"/>
            </w:tcBorders>
            <w:shd w:val="clear" w:color="auto" w:fill="FCE4EC"/>
            <w:tcMar>
              <w:top w:w="110" w:type="dxa"/>
              <w:left w:w="160" w:type="dxa"/>
              <w:bottom w:w="110" w:type="dxa"/>
              <w:right w:w="130" w:type="dxa"/>
            </w:tcMar>
          </w:tcPr>
          <w:p w14:paraId="50F2F5C0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  <w:sz w:val="22"/>
                <w:szCs w:val="22"/>
              </w:rPr>
              <w:t xml:space="preserve">De </w:t>
            </w: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  <w:sz w:val="22"/>
                <w:szCs w:val="22"/>
              </w:rPr>
              <w:t>Riedel</w:t>
            </w:r>
            <w:proofErr w:type="spellEnd"/>
          </w:p>
          <w:p w14:paraId="13CAA11E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i/>
                <w:iCs/>
                <w:color w:val="666666"/>
                <w:sz w:val="18"/>
                <w:szCs w:val="18"/>
              </w:rPr>
              <w:t>Fibreuse / sclérosante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B71C1C"/>
              <w:bottom w:val="single" w:sz="10" w:space="0" w:color="B71C1C"/>
              <w:right w:val="single" w:sz="2" w:space="0" w:color="D0D0D0"/>
            </w:tcBorders>
            <w:shd w:val="clear" w:color="auto" w:fill="FEF5F8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5F93B19F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</w:rPr>
              <w:t xml:space="preserve">VS/CRP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Élevés</w:t>
            </w:r>
          </w:p>
          <w:p w14:paraId="401203AB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</w:rPr>
              <w:t xml:space="preserve">Fonction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Normale</w:t>
            </w:r>
          </w:p>
          <w:p w14:paraId="0E2387F9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</w:rPr>
              <w:t xml:space="preserve">Anticorps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Absents</w:t>
            </w:r>
          </w:p>
          <w:p w14:paraId="04240E90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</w:rPr>
              <w:t xml:space="preserve">Microbiologie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Négative</w:t>
            </w:r>
          </w:p>
        </w:tc>
        <w:tc>
          <w:tcPr>
            <w:tcW w:w="2400" w:type="dxa"/>
            <w:tcBorders>
              <w:top w:val="single" w:sz="2" w:space="0" w:color="D0D0D0"/>
              <w:left w:val="single" w:sz="2" w:space="0" w:color="B71C1C"/>
              <w:bottom w:val="single" w:sz="10" w:space="0" w:color="B71C1C"/>
              <w:right w:val="single" w:sz="2" w:space="0" w:color="D0D0D0"/>
            </w:tcBorders>
            <w:shd w:val="clear" w:color="auto" w:fill="FEF5F8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764F5924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</w:rPr>
              <w:t xml:space="preserve">Douleur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Oui</w:t>
            </w:r>
          </w:p>
          <w:p w14:paraId="5D1BA812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</w:rPr>
              <w:t xml:space="preserve">Irradiation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Non</w:t>
            </w:r>
          </w:p>
          <w:p w14:paraId="090BAD42" w14:textId="77777777" w:rsidR="009911B5" w:rsidRPr="00B002E3" w:rsidRDefault="00840FF2">
            <w:pPr>
              <w:spacing w:before="18" w:after="18"/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</w:rPr>
              <w:t>Diag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</w:rPr>
              <w:t xml:space="preserve">. diff. : </w:t>
            </w:r>
            <w:r w:rsidRPr="00B002E3">
              <w:rPr>
                <w:rFonts w:ascii="Book Antiqua" w:eastAsia="Book Antiqua" w:hAnsi="Book Antiqua" w:cs="Book Antiqua"/>
                <w:color w:val="333333"/>
              </w:rPr>
              <w:t>Goitre, carcinome</w:t>
            </w:r>
          </w:p>
        </w:tc>
        <w:tc>
          <w:tcPr>
            <w:tcW w:w="2160" w:type="dxa"/>
            <w:tcBorders>
              <w:top w:val="single" w:sz="2" w:space="0" w:color="D0D0D0"/>
              <w:left w:val="single" w:sz="2" w:space="0" w:color="B71C1C"/>
              <w:bottom w:val="single" w:sz="10" w:space="0" w:color="B71C1C"/>
              <w:right w:val="single" w:sz="12" w:space="0" w:color="D0D0D0"/>
            </w:tcBorders>
            <w:shd w:val="clear" w:color="auto" w:fill="FEF5F8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200273FA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B71C1C"/>
              </w:rPr>
              <w:t>Rarement favorable</w:t>
            </w:r>
          </w:p>
          <w:p w14:paraId="1927FDBD" w14:textId="77777777" w:rsidR="009911B5" w:rsidRPr="00B002E3" w:rsidRDefault="00840FF2">
            <w:pPr>
              <w:spacing w:before="14" w:after="14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444444"/>
              </w:rPr>
              <w:t>• Fibrose extensive possible</w:t>
            </w:r>
          </w:p>
        </w:tc>
      </w:tr>
    </w:tbl>
    <w:p w14:paraId="18B2C766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1D9853BF" w14:textId="77777777" w:rsidR="009911B5" w:rsidRPr="00B002E3" w:rsidRDefault="00840FF2">
      <w:pPr>
        <w:spacing w:before="240" w:after="8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30"/>
          <w:szCs w:val="30"/>
        </w:rPr>
        <w:lastRenderedPageBreak/>
        <w:t xml:space="preserve">3. </w:t>
      </w:r>
      <w:r w:rsidRPr="00B002E3">
        <w:rPr>
          <w:rFonts w:ascii="Book Antiqua" w:eastAsia="Book Antiqua" w:hAnsi="Book Antiqua" w:cs="Book Antiqua"/>
          <w:b/>
          <w:bCs/>
          <w:color w:val="1F3864"/>
          <w:sz w:val="30"/>
          <w:szCs w:val="30"/>
        </w:rPr>
        <w:t>LES THYROÏDITES EN DÉTAIL</w:t>
      </w:r>
    </w:p>
    <w:p w14:paraId="77D188FF" w14:textId="77777777" w:rsidR="009911B5" w:rsidRPr="00B002E3" w:rsidRDefault="009911B5">
      <w:pPr>
        <w:pBdr>
          <w:bottom w:val="single" w:sz="4" w:space="1" w:color="2E6DA4"/>
        </w:pBdr>
        <w:spacing w:before="40" w:after="40"/>
        <w:rPr>
          <w:rFonts w:ascii="Book Antiqua" w:hAnsi="Book Antiqua"/>
        </w:rPr>
      </w:pPr>
    </w:p>
    <w:p w14:paraId="3C818AD5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Hypothyroïdie</w:t>
      </w:r>
    </w:p>
    <w:p w14:paraId="50B7F24E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Franche : </w:t>
      </w:r>
      <w:r w:rsidRPr="00B002E3">
        <w:rPr>
          <w:rFonts w:ascii="Book Antiqua" w:eastAsia="Book Antiqua" w:hAnsi="Book Antiqua" w:cs="Book Antiqua"/>
          <w:sz w:val="22"/>
          <w:szCs w:val="22"/>
        </w:rPr>
        <w:t>TSH &gt; 10 mU/l + T4 basse + signes cliniques</w:t>
      </w:r>
    </w:p>
    <w:p w14:paraId="3BD78DE0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Frustre /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subclinique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r w:rsidRPr="00B002E3">
        <w:rPr>
          <w:rFonts w:ascii="Book Antiqua" w:eastAsia="Book Antiqua" w:hAnsi="Book Antiqua" w:cs="Book Antiqua"/>
          <w:sz w:val="22"/>
          <w:szCs w:val="22"/>
        </w:rPr>
        <w:t>TSH 4,5–10 mU/l + T4 normale + peu de signes — confirmer sur 2 dosages à 1 mois</w:t>
      </w:r>
    </w:p>
    <w:p w14:paraId="576AA7A9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Primaire : </w:t>
      </w:r>
      <w:r w:rsidRPr="00B002E3">
        <w:rPr>
          <w:rFonts w:ascii="Book Antiqua" w:eastAsia="Book Antiqua" w:hAnsi="Book Antiqua" w:cs="Book Antiqua"/>
          <w:sz w:val="22"/>
          <w:szCs w:val="22"/>
        </w:rPr>
        <w:t>Atteinte de la thyroïde elle-même — TSH élevée, T4 basse</w:t>
      </w:r>
    </w:p>
    <w:p w14:paraId="31AEDDB4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Secondaire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Atteinte axe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hypothalamo-hypophysaire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— TSH normale ou basse + T4 basse</w:t>
      </w:r>
    </w:p>
    <w:p w14:paraId="1C7C1E08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Étiologies : </w:t>
      </w:r>
      <w:r w:rsidRPr="00B002E3">
        <w:rPr>
          <w:rFonts w:ascii="Book Antiqua" w:eastAsia="Book Antiqua" w:hAnsi="Book Antiqua" w:cs="Book Antiqua"/>
          <w:sz w:val="22"/>
          <w:szCs w:val="22"/>
        </w:rPr>
        <w:t>Hashimoto, carence iode, iatrogène (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amiodarone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, lithium, radiothérapie), chirurgie, De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Quervain</w:t>
      </w:r>
      <w:proofErr w:type="spellEnd"/>
    </w:p>
    <w:p w14:paraId="6098D200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Complications :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Myxœdème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(adulte) — retard de développement (enfant non traité)</w:t>
      </w:r>
    </w:p>
    <w:p w14:paraId="61BD3392" w14:textId="77777777" w:rsidR="009911B5" w:rsidRPr="00B002E3" w:rsidRDefault="009911B5">
      <w:pPr>
        <w:spacing w:before="20" w:after="1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0"/>
      </w:tblGrid>
      <w:tr w:rsidR="009911B5" w:rsidRPr="00B002E3" w14:paraId="55ADB161" w14:textId="77777777">
        <w:tc>
          <w:tcPr>
            <w:tcW w:w="0" w:type="auto"/>
            <w:tcBorders>
              <w:top w:val="none" w:sz="0" w:space="0" w:color="FFFFFF"/>
              <w:left w:val="single" w:sz="18" w:space="0" w:color="E8967A"/>
              <w:bottom w:val="none" w:sz="0" w:space="0" w:color="FFFFFF"/>
              <w:right w:val="none" w:sz="0" w:space="0" w:color="FFFFFF"/>
            </w:tcBorders>
            <w:shd w:val="clear" w:color="auto" w:fill="FFF8E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270659F" w14:textId="77777777" w:rsidR="009911B5" w:rsidRPr="00B002E3" w:rsidRDefault="00840FF2">
            <w:pPr>
              <w:spacing w:after="30"/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b/>
                <w:bCs/>
                <w:color w:val="E8967A"/>
              </w:rPr>
              <w:t>📝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E8967A"/>
              </w:rPr>
              <w:t xml:space="preserve">  Note de cours</w:t>
            </w:r>
          </w:p>
          <w:p w14:paraId="1CF748B9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Doser la TSH et T3 est plus logique que TSH + T4, car le dosage de T4 seule ne détecte pas une mauvaise conversion T4→T3, ni une conversion excessive en T3 reverse.</w:t>
            </w:r>
          </w:p>
        </w:tc>
      </w:tr>
    </w:tbl>
    <w:p w14:paraId="037ABDB8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16CCE967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Symptômes comparatifs HYPER / HYPO</w:t>
      </w:r>
    </w:p>
    <w:p w14:paraId="4E22D8AD" w14:textId="77777777" w:rsidR="009911B5" w:rsidRPr="00B002E3" w:rsidRDefault="009911B5">
      <w:pPr>
        <w:spacing w:before="20" w:after="5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00"/>
        <w:gridCol w:w="3260"/>
      </w:tblGrid>
      <w:tr w:rsidR="009911B5" w:rsidRPr="00B002E3" w14:paraId="1D031650" w14:textId="77777777">
        <w:tc>
          <w:tcPr>
            <w:tcW w:w="2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DF50E5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Système</w:t>
            </w:r>
          </w:p>
        </w:tc>
        <w:tc>
          <w:tcPr>
            <w:tcW w:w="3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C039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2F382E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HYPERTHYROÏDIE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A527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8B387E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HYPOTHYROÏDIE</w:t>
            </w:r>
          </w:p>
        </w:tc>
      </w:tr>
      <w:tr w:rsidR="009911B5" w:rsidRPr="00B002E3" w14:paraId="7579C628" w14:textId="77777777">
        <w:tc>
          <w:tcPr>
            <w:tcW w:w="2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BBB0E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Cœur</w:t>
            </w:r>
          </w:p>
        </w:tc>
        <w:tc>
          <w:tcPr>
            <w:tcW w:w="3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E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C3C036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7B0000"/>
              </w:rPr>
              <w:t>Tachycardie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B18CF7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1A3A5C"/>
              </w:rPr>
              <w:t>Bradycardie</w:t>
            </w:r>
          </w:p>
        </w:tc>
      </w:tr>
      <w:tr w:rsidR="009911B5" w:rsidRPr="00B002E3" w14:paraId="072BE2E3" w14:textId="77777777">
        <w:tc>
          <w:tcPr>
            <w:tcW w:w="2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B3D1FC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Muscles</w:t>
            </w:r>
          </w:p>
        </w:tc>
        <w:tc>
          <w:tcPr>
            <w:tcW w:w="3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8B8824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7B0000"/>
              </w:rPr>
              <w:t>Tremblements / faiblesse musculaire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28D85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1A3A5C"/>
              </w:rPr>
              <w:t>Myalgie, crampes, arthralgie</w:t>
            </w:r>
          </w:p>
        </w:tc>
      </w:tr>
      <w:tr w:rsidR="009911B5" w:rsidRPr="00B002E3" w14:paraId="32E47748" w14:textId="77777777">
        <w:tc>
          <w:tcPr>
            <w:tcW w:w="2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ABE174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Psychisme</w:t>
            </w:r>
          </w:p>
        </w:tc>
        <w:tc>
          <w:tcPr>
            <w:tcW w:w="3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E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4E175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7B0000"/>
              </w:rPr>
              <w:t>Hyperémotivité, nervosité, insomnie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9EF76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1A3A5C"/>
              </w:rPr>
              <w:t>Apathie, ralentissement, dépression</w:t>
            </w:r>
          </w:p>
        </w:tc>
      </w:tr>
      <w:tr w:rsidR="009911B5" w:rsidRPr="00B002E3" w14:paraId="614AFF76" w14:textId="77777777">
        <w:tc>
          <w:tcPr>
            <w:tcW w:w="2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C0D0EA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Température</w:t>
            </w:r>
          </w:p>
        </w:tc>
        <w:tc>
          <w:tcPr>
            <w:tcW w:w="3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1B469F" w14:textId="77777777" w:rsidR="009911B5" w:rsidRPr="00B002E3" w:rsidRDefault="00840FF2">
            <w:pPr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color w:val="7B0000"/>
              </w:rPr>
              <w:t>Thermophobie</w:t>
            </w:r>
            <w:proofErr w:type="spellEnd"/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122A5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1A3A5C"/>
              </w:rPr>
              <w:t>Frilosité</w:t>
            </w:r>
          </w:p>
        </w:tc>
      </w:tr>
      <w:tr w:rsidR="009911B5" w:rsidRPr="00B002E3" w14:paraId="30BEC244" w14:textId="77777777">
        <w:tc>
          <w:tcPr>
            <w:tcW w:w="2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3744E3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Poids</w:t>
            </w:r>
          </w:p>
        </w:tc>
        <w:tc>
          <w:tcPr>
            <w:tcW w:w="3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E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A64FA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7B0000"/>
              </w:rPr>
              <w:t>Perte de poids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E07A41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1A3A5C"/>
              </w:rPr>
              <w:t>Prise de poids</w:t>
            </w:r>
          </w:p>
        </w:tc>
      </w:tr>
      <w:tr w:rsidR="009911B5" w:rsidRPr="00B002E3" w14:paraId="7A06946A" w14:textId="77777777">
        <w:tc>
          <w:tcPr>
            <w:tcW w:w="2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2F7C74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Transit</w:t>
            </w:r>
          </w:p>
        </w:tc>
        <w:tc>
          <w:tcPr>
            <w:tcW w:w="3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C62823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7B0000"/>
              </w:rPr>
              <w:t>Diarrhée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E90D3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1A3A5C"/>
              </w:rPr>
              <w:t>Constipation</w:t>
            </w:r>
          </w:p>
        </w:tc>
      </w:tr>
    </w:tbl>
    <w:p w14:paraId="69789553" w14:textId="77777777" w:rsidR="009911B5" w:rsidRPr="00B002E3" w:rsidRDefault="009911B5">
      <w:pPr>
        <w:spacing w:before="10" w:after="1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0"/>
      </w:tblGrid>
      <w:tr w:rsidR="009911B5" w:rsidRPr="00B002E3" w14:paraId="08E66802" w14:textId="77777777">
        <w:tc>
          <w:tcPr>
            <w:tcW w:w="0" w:type="auto"/>
            <w:tcBorders>
              <w:top w:val="none" w:sz="0" w:space="0" w:color="FFFFFF"/>
              <w:left w:val="single" w:sz="18" w:space="0" w:color="E8967A"/>
              <w:bottom w:val="none" w:sz="0" w:space="0" w:color="FFFFFF"/>
              <w:right w:val="none" w:sz="0" w:space="0" w:color="FFFFFF"/>
            </w:tcBorders>
            <w:shd w:val="clear" w:color="auto" w:fill="FFF8E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20583DE" w14:textId="77777777" w:rsidR="009911B5" w:rsidRPr="00B002E3" w:rsidRDefault="00840FF2">
            <w:pPr>
              <w:spacing w:after="30"/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b/>
                <w:bCs/>
                <w:color w:val="E8967A"/>
              </w:rPr>
              <w:t>📝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E8967A"/>
              </w:rPr>
              <w:t xml:space="preserve">  Note de cours</w:t>
            </w:r>
          </w:p>
          <w:p w14:paraId="38A0B903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En cas de stress chronique, les surrénales libèrent des hormones de gestion du métabolisme. Quand elles s'épuisent, le relais est pris par la thyroïde qui s'épuise à son tour → passage progressif de l'hyperthyroïdie vers l'hypothyroïdie.</w:t>
            </w:r>
          </w:p>
        </w:tc>
      </w:tr>
    </w:tbl>
    <w:p w14:paraId="0A30C5E2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0C242893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Hyperthyroïdie</w:t>
      </w:r>
    </w:p>
    <w:p w14:paraId="62354F17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Clinique : </w:t>
      </w:r>
      <w:r w:rsidRPr="00B002E3">
        <w:rPr>
          <w:rFonts w:ascii="Book Antiqua" w:eastAsia="Book Antiqua" w:hAnsi="Book Antiqua" w:cs="Book Antiqua"/>
          <w:sz w:val="22"/>
          <w:szCs w:val="22"/>
        </w:rPr>
        <w:t>TSH &lt; 0,1 mU/l + T3/T4 élevées + signes (amaigrissement, tachycardie, nervosité…)</w:t>
      </w:r>
    </w:p>
    <w:p w14:paraId="32280E55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Infraclinique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(frustre) : </w:t>
      </w:r>
      <w:r w:rsidRPr="00B002E3">
        <w:rPr>
          <w:rFonts w:ascii="Book Antiqua" w:eastAsia="Book Antiqua" w:hAnsi="Book Antiqua" w:cs="Book Antiqua"/>
          <w:sz w:val="22"/>
          <w:szCs w:val="22"/>
        </w:rPr>
        <w:t>TSH 0,1–0,8 mU/l + T3/T4 normales + peu de signes</w:t>
      </w:r>
    </w:p>
    <w:p w14:paraId="45BA98B6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Quervain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r w:rsidRPr="00B002E3">
        <w:rPr>
          <w:rFonts w:ascii="Book Antiqua" w:eastAsia="Book Antiqua" w:hAnsi="Book Antiqua" w:cs="Book Antiqua"/>
          <w:sz w:val="22"/>
          <w:szCs w:val="22"/>
        </w:rPr>
        <w:t>Post-virale ORL — douleur cervicale, léger goitre asymétrique, TT : AINS, corticoïdes</w:t>
      </w:r>
    </w:p>
    <w:p w14:paraId="2281630C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Post-partum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6 % des grossesses — hyper vers 2ème mois →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hypo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3–6ème mois — récidive 40 %, définitive 20 %</w:t>
      </w:r>
    </w:p>
    <w:p w14:paraId="58C19089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Complications mère : </w:t>
      </w:r>
      <w:r w:rsidRPr="00B002E3">
        <w:rPr>
          <w:rFonts w:ascii="Book Antiqua" w:eastAsia="Book Antiqua" w:hAnsi="Book Antiqua" w:cs="Book Antiqua"/>
          <w:sz w:val="22"/>
          <w:szCs w:val="22"/>
        </w:rPr>
        <w:t>Pré-éclampsie, avortement prématuré, hémorragie post-partum</w:t>
      </w:r>
    </w:p>
    <w:p w14:paraId="14D2B50F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lastRenderedPageBreak/>
        <w:t xml:space="preserve">Complications fœtus : </w:t>
      </w:r>
      <w:r w:rsidRPr="00B002E3">
        <w:rPr>
          <w:rFonts w:ascii="Book Antiqua" w:eastAsia="Book Antiqua" w:hAnsi="Book Antiqua" w:cs="Book Antiqua"/>
          <w:sz w:val="22"/>
          <w:szCs w:val="22"/>
        </w:rPr>
        <w:t>Hypotrophie, anomalie de développement cérébral</w:t>
      </w:r>
    </w:p>
    <w:p w14:paraId="7278B964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1C6D3355" w14:textId="77777777" w:rsidR="009911B5" w:rsidRPr="00B002E3" w:rsidRDefault="00840FF2">
      <w:pPr>
        <w:spacing w:before="30" w:after="10"/>
        <w:jc w:val="center"/>
        <w:rPr>
          <w:rFonts w:ascii="Book Antiqua" w:hAnsi="Book Antiqua"/>
        </w:rPr>
      </w:pPr>
      <w:r w:rsidRPr="00B002E3">
        <w:rPr>
          <w:rFonts w:ascii="Book Antiqua" w:hAnsi="Book Antiqua"/>
          <w:noProof/>
        </w:rPr>
        <w:drawing>
          <wp:inline distT="0" distB="0" distL="0" distR="0" wp14:anchorId="312F8C5F" wp14:editId="0828D91B">
            <wp:extent cx="5334000" cy="2933700"/>
            <wp:effectExtent l="0" t="0" r="0" b="0"/>
            <wp:docPr id="251004038" name="Algorithme d'exploration biologique d'une pathologie thyroïdienne selon la TSH (Biomerieux)" descr="Algorithme d'exploration biologique d'une pathologie thyroïdienne selon la TSH (Biomerieux)" title="Algorithme d'exploration biologique d'une pathologie thyroïdienne selon la TSH (Biomerieu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FD0D" w14:textId="77777777" w:rsidR="009911B5" w:rsidRPr="00B002E3" w:rsidRDefault="00840FF2">
      <w:pPr>
        <w:spacing w:after="20"/>
        <w:jc w:val="center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>Algorithme d'exploration biologique d'une pathologie thyroïdienne selon la TSH (</w:t>
      </w:r>
      <w:proofErr w:type="spellStart"/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>Biomerieux</w:t>
      </w:r>
      <w:proofErr w:type="spellEnd"/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>)</w:t>
      </w:r>
    </w:p>
    <w:p w14:paraId="3836A5E7" w14:textId="77777777" w:rsidR="009911B5" w:rsidRPr="00B002E3" w:rsidRDefault="009911B5">
      <w:pPr>
        <w:spacing w:before="10" w:after="1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0"/>
      </w:tblGrid>
      <w:tr w:rsidR="009911B5" w:rsidRPr="00B002E3" w14:paraId="5F608CA0" w14:textId="77777777">
        <w:tc>
          <w:tcPr>
            <w:tcW w:w="0" w:type="auto"/>
            <w:tcBorders>
              <w:top w:val="none" w:sz="0" w:space="0" w:color="FFFFFF"/>
              <w:left w:val="single" w:sz="18" w:space="0" w:color="E8967A"/>
              <w:bottom w:val="none" w:sz="0" w:space="0" w:color="FFFFFF"/>
              <w:right w:val="none" w:sz="0" w:space="0" w:color="FFFFFF"/>
            </w:tcBorders>
            <w:shd w:val="clear" w:color="auto" w:fill="FFF8E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3876204" w14:textId="77777777" w:rsidR="009911B5" w:rsidRPr="00B002E3" w:rsidRDefault="00840FF2">
            <w:pPr>
              <w:spacing w:after="30"/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b/>
                <w:bCs/>
                <w:color w:val="E8967A"/>
              </w:rPr>
              <w:t>📝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E8967A"/>
              </w:rPr>
              <w:t xml:space="preserve">  Note de cours</w:t>
            </w:r>
          </w:p>
          <w:p w14:paraId="1BC7F7CA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Lecture de l'arbre décisionnel : partir toujours de la TSH.</w:t>
            </w:r>
          </w:p>
          <w:p w14:paraId="6179CD08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• TSH élevée + FT4 augmentée → contrôler le bilan, reprendre l'interrogatoire → explorer axe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hypothalamo-hypophysaire</w:t>
            </w:r>
            <w:proofErr w:type="spellEnd"/>
          </w:p>
          <w:p w14:paraId="18BBA525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• TSH élevée + FT4 normale ou basse → HYPOTHYROÏDIE</w:t>
            </w:r>
          </w:p>
          <w:p w14:paraId="71BB2BDE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• TSH normale →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EUTHYROÏDIE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(si concordance clinique)</w:t>
            </w:r>
          </w:p>
          <w:p w14:paraId="348EE307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• TSH abaissée + FT4/FT3 augmentées → HYPERTHYROÏDIE</w:t>
            </w:r>
          </w:p>
          <w:p w14:paraId="68A8554A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• TSH abaissée + FT4/FT3 normales → investigations complémentaires (données cliniques, grossesse, médicaments…)</w:t>
            </w:r>
          </w:p>
          <w:p w14:paraId="1CDCD83E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• TSH abaissée + FT4/FT3 diminuées → HYPOTHYROÏDIE CENTRALE</w:t>
            </w:r>
          </w:p>
        </w:tc>
      </w:tr>
    </w:tbl>
    <w:p w14:paraId="15FFC89E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10C01DDB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Thyroïdite de Hashimoto (auto-immune)</w:t>
      </w:r>
    </w:p>
    <w:p w14:paraId="354626D6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>MAI la plus fréquente : 15 % de la population — 3× plus chez la femme</w:t>
      </w:r>
    </w:p>
    <w:p w14:paraId="5F4CB622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>Prédisposition génétique HLA B8DR3 — femme de 30 à 60 ans</w:t>
      </w:r>
    </w:p>
    <w:p w14:paraId="1CF420C1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Étiologie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Infection virale, stress, iode, irradiation, tabagisme, hormones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stéroïdiennes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féminines,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immunomodulateurs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(interféron α)</w:t>
      </w:r>
    </w:p>
    <w:p w14:paraId="5C993CE4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Mécanisme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Destruction lymphocytaire des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thyréocytes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→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Hashitoxicose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transitoire → hypothyroïdie progressive</w:t>
      </w:r>
    </w:p>
    <w:p w14:paraId="7DC1DA2E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Ac anti-TPO : </w:t>
      </w:r>
      <w:r w:rsidRPr="00B002E3">
        <w:rPr>
          <w:rFonts w:ascii="Book Antiqua" w:eastAsia="Book Antiqua" w:hAnsi="Book Antiqua" w:cs="Book Antiqua"/>
          <w:sz w:val="22"/>
          <w:szCs w:val="22"/>
        </w:rPr>
        <w:t>90 % des cas (&lt; 34 kUI/L)</w:t>
      </w:r>
    </w:p>
    <w:p w14:paraId="10DC115F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Ac anti-Tg : </w:t>
      </w:r>
      <w:r w:rsidRPr="00B002E3">
        <w:rPr>
          <w:rFonts w:ascii="Book Antiqua" w:eastAsia="Book Antiqua" w:hAnsi="Book Antiqua" w:cs="Book Antiqua"/>
          <w:sz w:val="22"/>
          <w:szCs w:val="22"/>
        </w:rPr>
        <w:t>20–50 % des cas (&lt; 115 kIU/L)</w:t>
      </w:r>
    </w:p>
    <w:p w14:paraId="65932A53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 xml:space="preserve">90 % des patients présentent une « fatigue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surrénalienne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»</w:t>
      </w:r>
    </w:p>
    <w:p w14:paraId="59CB9090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Co-pathologies :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Biermer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, lupus, PR, insuffisance surrénale, SOPK</w:t>
      </w:r>
    </w:p>
    <w:p w14:paraId="7175B90E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Facteurs aggravants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Stress chronique, carence vit D,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insulino-résistance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, inflammation bas grade, gluten (80 %),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dysbiose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/candidose (50 %)</w:t>
      </w:r>
    </w:p>
    <w:p w14:paraId="4C4938A2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300E83EE" w14:textId="77777777" w:rsidR="009911B5" w:rsidRPr="00B002E3" w:rsidRDefault="00840FF2">
      <w:pPr>
        <w:spacing w:before="30" w:after="10"/>
        <w:jc w:val="center"/>
        <w:rPr>
          <w:rFonts w:ascii="Book Antiqua" w:hAnsi="Book Antiqua"/>
        </w:rPr>
      </w:pPr>
      <w:r w:rsidRPr="00B002E3">
        <w:rPr>
          <w:rFonts w:ascii="Book Antiqua" w:hAnsi="Book Antiqua"/>
          <w:noProof/>
        </w:rPr>
        <w:lastRenderedPageBreak/>
        <w:drawing>
          <wp:inline distT="0" distB="0" distL="0" distR="0" wp14:anchorId="221D83F4" wp14:editId="615BE262">
            <wp:extent cx="3619500" cy="3028950"/>
            <wp:effectExtent l="0" t="0" r="0" b="0"/>
            <wp:docPr id="1866654986" name="Processus immunologique — Thyroïdite de Hashimoto et Maladie de Basedow (Revue Médicale Suisse)" descr="Processus immunologique — Thyroïdite de Hashimoto et Maladie de Basedow (Revue Médicale Suisse)" title="Processus immunologique — Thyroïdite de Hashimoto et Maladie de Basedow (Revue Médicale Suis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1C93" w14:textId="77777777" w:rsidR="009911B5" w:rsidRPr="00B002E3" w:rsidRDefault="00840FF2">
      <w:pPr>
        <w:spacing w:after="20"/>
        <w:jc w:val="center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 xml:space="preserve">Processus immunologique — Thyroïdite de Hashimoto et Maladie de </w:t>
      </w:r>
      <w:proofErr w:type="spellStart"/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>Basedow</w:t>
      </w:r>
      <w:proofErr w:type="spellEnd"/>
      <w:r w:rsidRPr="00B002E3"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 xml:space="preserve"> (Revue Médicale Suisse)</w:t>
      </w:r>
    </w:p>
    <w:p w14:paraId="5E9D0872" w14:textId="77777777" w:rsidR="009911B5" w:rsidRPr="00B002E3" w:rsidRDefault="009911B5">
      <w:pPr>
        <w:spacing w:before="10" w:after="1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0"/>
      </w:tblGrid>
      <w:tr w:rsidR="009911B5" w:rsidRPr="00B002E3" w14:paraId="07F1A96B" w14:textId="77777777">
        <w:tc>
          <w:tcPr>
            <w:tcW w:w="0" w:type="auto"/>
            <w:tcBorders>
              <w:top w:val="none" w:sz="0" w:space="0" w:color="FFFFFF"/>
              <w:left w:val="single" w:sz="18" w:space="0" w:color="E8967A"/>
              <w:bottom w:val="none" w:sz="0" w:space="0" w:color="FFFFFF"/>
              <w:right w:val="none" w:sz="0" w:space="0" w:color="FFFFFF"/>
            </w:tcBorders>
            <w:shd w:val="clear" w:color="auto" w:fill="FFF8E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959DD79" w14:textId="77777777" w:rsidR="009911B5" w:rsidRPr="00B002E3" w:rsidRDefault="00840FF2">
            <w:pPr>
              <w:spacing w:after="30"/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b/>
                <w:bCs/>
                <w:color w:val="E8967A"/>
              </w:rPr>
              <w:t>📝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E8967A"/>
              </w:rPr>
              <w:t xml:space="preserve">  Note de cours</w:t>
            </w:r>
          </w:p>
          <w:p w14:paraId="17923F8E" w14:textId="77777777" w:rsidR="009911B5" w:rsidRPr="00B002E3" w:rsidRDefault="00840FF2">
            <w:pPr>
              <w:spacing w:after="8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Le schéma montre comment une « agression » (virus, stress, toxiques) active les lymphocytes T CD4 (Th1) via le complexe MHC II-Ag. Deux voies s'ensuivent :</w:t>
            </w:r>
          </w:p>
          <w:p w14:paraId="609CE0D5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• Voie Th1 → cytokines → lymphocytes CD8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cytotoxiques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→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apoptose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des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thyréocytes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→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HASHIMOTO</w:t>
            </w:r>
            <w:proofErr w:type="spellEnd"/>
          </w:p>
          <w:p w14:paraId="7D6A38B2" w14:textId="77777777" w:rsidR="009911B5" w:rsidRPr="00B002E3" w:rsidRDefault="00840FF2">
            <w:pPr>
              <w:spacing w:after="6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• Voie Th2 → lymphocytes B → anticorps anti-TG, anti-TSH-R, anti-TPO → si Ac stimulants →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BASEDOW</w:t>
            </w:r>
            <w:proofErr w:type="spellEnd"/>
          </w:p>
          <w:p w14:paraId="6F0E0563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Le thymus et les cellules T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suppresseurs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régulent (±) ce processus. Un mimétisme moléculaire (Ag exogène) peut déclencher la réaction contre les propres Ag thyroïdiens.</w:t>
            </w:r>
          </w:p>
        </w:tc>
      </w:tr>
    </w:tbl>
    <w:p w14:paraId="5CFD2A7D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7753D539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 xml:space="preserve">Maladie de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Basedow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 xml:space="preserve"> (thyroïdite auto-immune — hyperthyroïdie)</w:t>
      </w:r>
    </w:p>
    <w:p w14:paraId="6627E769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>Ac anti-récepteur TSH (TRAK) stimulants → T3/T4 élevées sans frein possible</w:t>
      </w:r>
    </w:p>
    <w:p w14:paraId="23E5A327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>10 femmes pour 1 homme — déclencheurs : stress, infection</w:t>
      </w:r>
    </w:p>
    <w:p w14:paraId="3BB0DA3F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Orbitopathie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Exophtalmie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— atteinte des tissus rétro-orbitaires</w:t>
      </w:r>
    </w:p>
    <w:p w14:paraId="0AB17CE1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Mimétisme moléculaire :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Yersinia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enterocolitica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/ récepteur TSH</w:t>
      </w:r>
    </w:p>
    <w:p w14:paraId="56107CFC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Tabac : </w:t>
      </w:r>
      <w:r w:rsidRPr="00B002E3">
        <w:rPr>
          <w:rFonts w:ascii="Book Antiqua" w:eastAsia="Book Antiqua" w:hAnsi="Book Antiqua" w:cs="Book Antiqua"/>
          <w:sz w:val="22"/>
          <w:szCs w:val="22"/>
        </w:rPr>
        <w:t>Facteur de risque ET d'évolution plus sévère</w:t>
      </w:r>
    </w:p>
    <w:p w14:paraId="5197A0B2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sz w:val="22"/>
          <w:szCs w:val="22"/>
        </w:rPr>
        <w:t xml:space="preserve">Association : vitiligo, syndrome de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Gougerot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, anémie de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Biermer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, diabète</w:t>
      </w:r>
    </w:p>
    <w:p w14:paraId="40FC9BA4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0"/>
      </w:tblGrid>
      <w:tr w:rsidR="009911B5" w:rsidRPr="00B002E3" w14:paraId="2C7D8B04" w14:textId="77777777">
        <w:tc>
          <w:tcPr>
            <w:tcW w:w="0" w:type="auto"/>
            <w:tcBorders>
              <w:top w:val="single" w:sz="6" w:space="0" w:color="E6A817"/>
              <w:left w:val="single" w:sz="18" w:space="0" w:color="E6A817"/>
              <w:bottom w:val="single" w:sz="6" w:space="0" w:color="E6A817"/>
              <w:right w:val="single" w:sz="6" w:space="0" w:color="E6A817"/>
            </w:tcBorders>
            <w:shd w:val="clear" w:color="auto" w:fill="FFF3CD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5EBA74A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Apple Color Emoji" w:eastAsia="Book Antiqua" w:hAnsi="Apple Color Emoji" w:cs="Apple Color Emoji"/>
                <w:b/>
                <w:bCs/>
                <w:color w:val="8B4000"/>
                <w:sz w:val="21"/>
                <w:szCs w:val="21"/>
              </w:rPr>
              <w:t>⚠</w:t>
            </w:r>
            <w:r w:rsidRPr="00B002E3">
              <w:rPr>
                <w:rFonts w:ascii="Book Antiqua" w:eastAsia="Book Antiqua" w:hAnsi="Book Antiqua" w:cs="Book Antiqua"/>
                <w:b/>
                <w:bCs/>
                <w:color w:val="8B4000"/>
                <w:sz w:val="21"/>
                <w:szCs w:val="21"/>
              </w:rPr>
              <w:t xml:space="preserve">  </w:t>
            </w: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8B4000"/>
                <w:sz w:val="21"/>
                <w:szCs w:val="21"/>
              </w:rPr>
              <w:t>Basedow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8B4000"/>
                <w:sz w:val="21"/>
                <w:szCs w:val="21"/>
              </w:rPr>
              <w:t xml:space="preserve"> : </w:t>
            </w:r>
            <w:r w:rsidRPr="00B002E3">
              <w:rPr>
                <w:rFonts w:ascii="Book Antiqua" w:eastAsia="Book Antiqua" w:hAnsi="Book Antiqua" w:cs="Book Antiqua"/>
                <w:color w:val="8B4000"/>
                <w:sz w:val="21"/>
                <w:szCs w:val="21"/>
              </w:rPr>
              <w:t xml:space="preserve">prise en charge médicale obligatoire avant toute approche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8B4000"/>
                <w:sz w:val="21"/>
                <w:szCs w:val="21"/>
              </w:rPr>
              <w:t>naturopathique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8B4000"/>
                <w:sz w:val="21"/>
                <w:szCs w:val="21"/>
              </w:rPr>
              <w:t>. Le soutien naturel ne s'envisage qu'en complément du traitement allopathique (antithyroïdiens, iode radioactif ou chirurgie).</w:t>
            </w:r>
          </w:p>
        </w:tc>
      </w:tr>
    </w:tbl>
    <w:p w14:paraId="674AD6B7" w14:textId="26B60089" w:rsidR="009911B5" w:rsidRPr="00B002E3" w:rsidRDefault="004B0579">
      <w:pPr>
        <w:spacing w:before="20" w:after="20"/>
        <w:rPr>
          <w:rFonts w:ascii="Book Antiqua" w:hAnsi="Book Antiqua"/>
        </w:rPr>
      </w:pPr>
      <w:r w:rsidRPr="00B002E3">
        <w:rPr>
          <w:rFonts w:ascii="Book Antiqua" w:hAnsi="Book Antiqu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8D6FE6D" wp14:editId="26C7FB1E">
            <wp:simplePos x="0" y="0"/>
            <wp:positionH relativeFrom="column">
              <wp:posOffset>3285383</wp:posOffset>
            </wp:positionH>
            <wp:positionV relativeFrom="paragraph">
              <wp:posOffset>761517</wp:posOffset>
            </wp:positionV>
            <wp:extent cx="2820035" cy="2149475"/>
            <wp:effectExtent l="0" t="0" r="0" b="0"/>
            <wp:wrapTopAndBottom/>
            <wp:docPr id="749241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41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784" w:rsidRPr="00B002E3">
        <w:rPr>
          <w:rFonts w:ascii="Book Antiqua" w:hAnsi="Book Antiqua"/>
          <w:noProof/>
        </w:rPr>
        <w:drawing>
          <wp:anchor distT="0" distB="0" distL="114300" distR="114300" simplePos="0" relativeHeight="251661312" behindDoc="0" locked="0" layoutInCell="1" allowOverlap="1" wp14:anchorId="713EF8A1" wp14:editId="2F3F4A3B">
            <wp:simplePos x="0" y="0"/>
            <wp:positionH relativeFrom="column">
              <wp:posOffset>1270</wp:posOffset>
            </wp:positionH>
            <wp:positionV relativeFrom="paragraph">
              <wp:posOffset>156210</wp:posOffset>
            </wp:positionV>
            <wp:extent cx="3065145" cy="3467100"/>
            <wp:effectExtent l="0" t="0" r="0" b="0"/>
            <wp:wrapTopAndBottom/>
            <wp:docPr id="18688080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8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F2442" w14:textId="77777777" w:rsidR="00FA6891" w:rsidRPr="00B002E3" w:rsidRDefault="00FA6891">
      <w:pPr>
        <w:spacing w:before="20" w:after="20"/>
        <w:rPr>
          <w:rFonts w:ascii="Book Antiqua" w:hAnsi="Book Antiqua"/>
        </w:rPr>
      </w:pPr>
    </w:p>
    <w:p w14:paraId="3D1C2883" w14:textId="77777777" w:rsidR="009911B5" w:rsidRPr="00B002E3" w:rsidRDefault="00840FF2">
      <w:pPr>
        <w:spacing w:before="240" w:after="8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30"/>
          <w:szCs w:val="30"/>
        </w:rPr>
        <w:t xml:space="preserve">4. </w:t>
      </w:r>
      <w:r w:rsidRPr="00B002E3">
        <w:rPr>
          <w:rFonts w:ascii="Book Antiqua" w:eastAsia="Book Antiqua" w:hAnsi="Book Antiqua" w:cs="Book Antiqua"/>
          <w:b/>
          <w:bCs/>
          <w:color w:val="1F3864"/>
          <w:sz w:val="30"/>
          <w:szCs w:val="30"/>
        </w:rPr>
        <w:t>ANTICORPS THYROÏDIENS — Repères</w:t>
      </w:r>
    </w:p>
    <w:p w14:paraId="7C4AF0FE" w14:textId="77777777" w:rsidR="009911B5" w:rsidRPr="00B002E3" w:rsidRDefault="009911B5">
      <w:pPr>
        <w:pBdr>
          <w:bottom w:val="single" w:sz="4" w:space="1" w:color="2E6DA4"/>
        </w:pBdr>
        <w:spacing w:before="40" w:after="40"/>
        <w:rPr>
          <w:rFonts w:ascii="Book Antiqua" w:hAnsi="Book Antiqua"/>
        </w:rPr>
      </w:pPr>
    </w:p>
    <w:p w14:paraId="620C4472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Ac anti-TPO : </w:t>
      </w:r>
      <w:r w:rsidRPr="00B002E3">
        <w:rPr>
          <w:rFonts w:ascii="Book Antiqua" w:eastAsia="Book Antiqua" w:hAnsi="Book Antiqua" w:cs="Book Antiqua"/>
          <w:sz w:val="22"/>
          <w:szCs w:val="22"/>
        </w:rPr>
        <w:t>&lt; 34 kUI/l — bloquent l'iode dans la TPO — marqueur principal Hashimoto (90 %)</w:t>
      </w:r>
    </w:p>
    <w:p w14:paraId="0BAAB324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Ac anti-Tg : </w:t>
      </w:r>
      <w:r w:rsidRPr="00B002E3">
        <w:rPr>
          <w:rFonts w:ascii="Book Antiqua" w:eastAsia="Book Antiqua" w:hAnsi="Book Antiqua" w:cs="Book Antiqua"/>
          <w:sz w:val="22"/>
          <w:szCs w:val="22"/>
        </w:rPr>
        <w:t>&lt; 115 kIU/l — rôle pathogène mal connu — présents dans 20–50 % Hashimoto</w:t>
      </w:r>
    </w:p>
    <w:p w14:paraId="2EA72ADF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TRAK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Stimulants →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Basedow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| Bloquants → hypotrophie de la glande</w:t>
      </w:r>
    </w:p>
    <w:p w14:paraId="5E2468BA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Bilan complet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TSH, T3L, T4L, T3R, Ac anti-TPO, anti-Tg, TRAK,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iodurie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, vit D,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ferritine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, zinc, sélénium</w:t>
      </w:r>
    </w:p>
    <w:p w14:paraId="35D29EDB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3783B9E8" w14:textId="77777777" w:rsidR="00A74E0B" w:rsidRPr="00B002E3" w:rsidRDefault="00A74E0B">
      <w:pPr>
        <w:spacing w:before="20" w:after="20"/>
        <w:rPr>
          <w:rFonts w:ascii="Book Antiqua" w:hAnsi="Book Antiqua"/>
        </w:rPr>
      </w:pPr>
    </w:p>
    <w:p w14:paraId="39E1E456" w14:textId="77777777" w:rsidR="00A74E0B" w:rsidRPr="00B002E3" w:rsidRDefault="00A74E0B">
      <w:pPr>
        <w:spacing w:before="20" w:after="20"/>
        <w:rPr>
          <w:rFonts w:ascii="Book Antiqua" w:hAnsi="Book Antiqua"/>
        </w:rPr>
      </w:pPr>
    </w:p>
    <w:p w14:paraId="16CEDF55" w14:textId="77777777" w:rsidR="00A74E0B" w:rsidRPr="00B002E3" w:rsidRDefault="00A74E0B">
      <w:pPr>
        <w:spacing w:before="20" w:after="20"/>
        <w:rPr>
          <w:rFonts w:ascii="Book Antiqua" w:hAnsi="Book Antiqua"/>
        </w:rPr>
      </w:pPr>
    </w:p>
    <w:p w14:paraId="408EFEA2" w14:textId="77777777" w:rsidR="00A74E0B" w:rsidRPr="00B002E3" w:rsidRDefault="00A74E0B">
      <w:pPr>
        <w:spacing w:before="20" w:after="20"/>
        <w:rPr>
          <w:rFonts w:ascii="Book Antiqua" w:hAnsi="Book Antiqua"/>
        </w:rPr>
      </w:pPr>
    </w:p>
    <w:p w14:paraId="3D241200" w14:textId="77777777" w:rsidR="00A74E0B" w:rsidRPr="00B002E3" w:rsidRDefault="00A74E0B">
      <w:pPr>
        <w:spacing w:before="20" w:after="20"/>
        <w:rPr>
          <w:rFonts w:ascii="Book Antiqua" w:hAnsi="Book Antiqua"/>
        </w:rPr>
      </w:pPr>
    </w:p>
    <w:p w14:paraId="678A6233" w14:textId="77777777" w:rsidR="00A74E0B" w:rsidRPr="00B002E3" w:rsidRDefault="00A74E0B">
      <w:pPr>
        <w:spacing w:before="20" w:after="20"/>
        <w:rPr>
          <w:rFonts w:ascii="Book Antiqua" w:hAnsi="Book Antiqua"/>
        </w:rPr>
      </w:pPr>
    </w:p>
    <w:p w14:paraId="113BB492" w14:textId="77777777" w:rsidR="00A74E0B" w:rsidRPr="00B002E3" w:rsidRDefault="00A74E0B">
      <w:pPr>
        <w:spacing w:before="20" w:after="20"/>
        <w:rPr>
          <w:rFonts w:ascii="Book Antiqua" w:hAnsi="Book Antiqua"/>
        </w:rPr>
      </w:pPr>
    </w:p>
    <w:p w14:paraId="041E6715" w14:textId="77777777" w:rsidR="00A74E0B" w:rsidRPr="00B002E3" w:rsidRDefault="00A74E0B">
      <w:pPr>
        <w:spacing w:before="20" w:after="20"/>
        <w:rPr>
          <w:rFonts w:ascii="Book Antiqua" w:hAnsi="Book Antiqua"/>
        </w:rPr>
      </w:pPr>
    </w:p>
    <w:p w14:paraId="4EEA48E3" w14:textId="77777777" w:rsidR="00A74E0B" w:rsidRPr="00B002E3" w:rsidRDefault="00A74E0B">
      <w:pPr>
        <w:spacing w:before="20" w:after="20"/>
        <w:rPr>
          <w:rFonts w:ascii="Book Antiqua" w:hAnsi="Book Antiqua"/>
        </w:rPr>
      </w:pPr>
    </w:p>
    <w:p w14:paraId="647B6FAE" w14:textId="77777777" w:rsidR="007D600C" w:rsidRPr="00B002E3" w:rsidRDefault="007D600C">
      <w:pPr>
        <w:spacing w:before="20" w:after="20"/>
        <w:rPr>
          <w:rFonts w:ascii="Book Antiqua" w:hAnsi="Book Antiqua"/>
        </w:rPr>
      </w:pPr>
    </w:p>
    <w:p w14:paraId="168E80C7" w14:textId="77777777" w:rsidR="007D600C" w:rsidRPr="00B002E3" w:rsidRDefault="007D600C">
      <w:pPr>
        <w:spacing w:before="20" w:after="20"/>
        <w:rPr>
          <w:rFonts w:ascii="Book Antiqua" w:hAnsi="Book Antiqua"/>
        </w:rPr>
      </w:pPr>
    </w:p>
    <w:p w14:paraId="33A06988" w14:textId="77777777" w:rsidR="007D600C" w:rsidRPr="00B002E3" w:rsidRDefault="007D600C">
      <w:pPr>
        <w:spacing w:before="20" w:after="20"/>
        <w:rPr>
          <w:rFonts w:ascii="Book Antiqua" w:hAnsi="Book Antiqua"/>
        </w:rPr>
      </w:pPr>
    </w:p>
    <w:p w14:paraId="32BE1E6C" w14:textId="77777777" w:rsidR="007D600C" w:rsidRPr="00B002E3" w:rsidRDefault="007D600C">
      <w:pPr>
        <w:spacing w:before="20" w:after="20"/>
        <w:rPr>
          <w:rFonts w:ascii="Book Antiqua" w:hAnsi="Book Antiqua"/>
        </w:rPr>
      </w:pPr>
    </w:p>
    <w:p w14:paraId="56C85B51" w14:textId="77777777" w:rsidR="007D600C" w:rsidRPr="00B002E3" w:rsidRDefault="007D600C">
      <w:pPr>
        <w:spacing w:before="20" w:after="20"/>
        <w:rPr>
          <w:rFonts w:ascii="Book Antiqua" w:hAnsi="Book Antiqua"/>
        </w:rPr>
      </w:pPr>
    </w:p>
    <w:p w14:paraId="2036B056" w14:textId="77777777" w:rsidR="007D600C" w:rsidRPr="00B002E3" w:rsidRDefault="007D600C">
      <w:pPr>
        <w:spacing w:before="20" w:after="20"/>
        <w:rPr>
          <w:rFonts w:ascii="Book Antiqua" w:hAnsi="Book Antiqua"/>
        </w:rPr>
      </w:pPr>
    </w:p>
    <w:p w14:paraId="3EE2211D" w14:textId="77777777" w:rsidR="007D600C" w:rsidRPr="00B002E3" w:rsidRDefault="007D600C">
      <w:pPr>
        <w:spacing w:before="20" w:after="20"/>
        <w:rPr>
          <w:rFonts w:ascii="Book Antiqua" w:hAnsi="Book Antiqua"/>
        </w:rPr>
      </w:pPr>
    </w:p>
    <w:p w14:paraId="6E6A4AA6" w14:textId="77777777" w:rsidR="007D600C" w:rsidRPr="00B002E3" w:rsidRDefault="007D600C">
      <w:pPr>
        <w:spacing w:before="20" w:after="20"/>
        <w:rPr>
          <w:rFonts w:ascii="Book Antiqua" w:hAnsi="Book Antiqua"/>
        </w:rPr>
      </w:pPr>
    </w:p>
    <w:p w14:paraId="74BAA3AE" w14:textId="77777777" w:rsidR="007D600C" w:rsidRPr="00B002E3" w:rsidRDefault="007D600C">
      <w:pPr>
        <w:spacing w:before="20" w:after="20"/>
        <w:rPr>
          <w:rFonts w:ascii="Book Antiqua" w:hAnsi="Book Antiqua"/>
        </w:rPr>
      </w:pPr>
    </w:p>
    <w:p w14:paraId="6C2517FD" w14:textId="77777777" w:rsidR="009911B5" w:rsidRPr="00B002E3" w:rsidRDefault="00840FF2">
      <w:pPr>
        <w:spacing w:before="240" w:after="8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30"/>
          <w:szCs w:val="30"/>
        </w:rPr>
        <w:lastRenderedPageBreak/>
        <w:t xml:space="preserve">5. </w:t>
      </w:r>
      <w:r w:rsidRPr="00B002E3">
        <w:rPr>
          <w:rFonts w:ascii="Book Antiqua" w:eastAsia="Book Antiqua" w:hAnsi="Book Antiqua" w:cs="Book Antiqua"/>
          <w:b/>
          <w:bCs/>
          <w:color w:val="1F3864"/>
          <w:sz w:val="30"/>
          <w:szCs w:val="30"/>
        </w:rPr>
        <w:t>PROPOSITION THÉRAPEUTIQUE NATURELLE</w:t>
      </w:r>
    </w:p>
    <w:p w14:paraId="66163C58" w14:textId="77777777" w:rsidR="009911B5" w:rsidRPr="00B002E3" w:rsidRDefault="009911B5">
      <w:pPr>
        <w:pBdr>
          <w:bottom w:val="single" w:sz="4" w:space="1" w:color="2E6DA4"/>
        </w:pBdr>
        <w:spacing w:before="40" w:after="40"/>
        <w:rPr>
          <w:rFonts w:ascii="Book Antiqua" w:hAnsi="Book Antiqua"/>
        </w:rPr>
      </w:pPr>
    </w:p>
    <w:p w14:paraId="7E15EA56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 xml:space="preserve">Posture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naturopathique</w:t>
      </w:r>
      <w:proofErr w:type="spellEnd"/>
    </w:p>
    <w:p w14:paraId="29CBD470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Pathologie avérée : </w:t>
      </w:r>
      <w:r w:rsidRPr="00B002E3">
        <w:rPr>
          <w:rFonts w:ascii="Book Antiqua" w:eastAsia="Book Antiqua" w:hAnsi="Book Antiqua" w:cs="Book Antiqua"/>
          <w:sz w:val="22"/>
          <w:szCs w:val="22"/>
        </w:rPr>
        <w:t>Prise en charge médicale préalable obligatoire</w:t>
      </w:r>
    </w:p>
    <w:p w14:paraId="0BA19572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Frustre /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subclinique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Naturopathie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en première ligne ou en soutien</w:t>
      </w:r>
    </w:p>
    <w:p w14:paraId="50EEF833" w14:textId="5F992D8B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color w:val="B94040"/>
          <w:sz w:val="22"/>
          <w:szCs w:val="22"/>
        </w:rPr>
        <w:t xml:space="preserve">Toujours vérifier les bilans biologiques avant de </w:t>
      </w:r>
      <w:proofErr w:type="spellStart"/>
      <w:r w:rsidRPr="00B002E3">
        <w:rPr>
          <w:rFonts w:ascii="Book Antiqua" w:eastAsia="Book Antiqua" w:hAnsi="Book Antiqua" w:cs="Book Antiqua"/>
          <w:color w:val="B94040"/>
          <w:sz w:val="22"/>
          <w:szCs w:val="22"/>
        </w:rPr>
        <w:t>supplémenter</w:t>
      </w:r>
      <w:proofErr w:type="spellEnd"/>
      <w:r w:rsidR="00AF7DF2" w:rsidRPr="00B002E3">
        <w:rPr>
          <w:rFonts w:ascii="Book Antiqua" w:eastAsia="Book Antiqua" w:hAnsi="Book Antiqua" w:cs="Book Antiqua"/>
          <w:color w:val="B94040"/>
          <w:sz w:val="22"/>
          <w:szCs w:val="22"/>
        </w:rPr>
        <w:t xml:space="preserve"> : </w:t>
      </w:r>
      <w:r w:rsidR="00AF7DF2" w:rsidRPr="00B002E3">
        <w:rPr>
          <w:rFonts w:ascii="Book Antiqua" w:eastAsia="Book Antiqua" w:hAnsi="Book Antiqua" w:cs="Book Antiqua"/>
          <w:color w:val="000000" w:themeColor="text1"/>
          <w:sz w:val="22"/>
          <w:szCs w:val="22"/>
        </w:rPr>
        <w:t>Dosage des cofacteurs.</w:t>
      </w:r>
    </w:p>
    <w:p w14:paraId="3CAA268B" w14:textId="2A6F1BB0" w:rsidR="009D48B6" w:rsidRPr="00B002E3" w:rsidRDefault="009D48B6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color w:val="B94040"/>
          <w:sz w:val="22"/>
          <w:szCs w:val="22"/>
        </w:rPr>
        <w:t>S</w:t>
      </w:r>
      <w:r w:rsidR="00986B55" w:rsidRPr="00B002E3">
        <w:rPr>
          <w:rFonts w:ascii="Book Antiqua" w:eastAsia="Book Antiqua" w:hAnsi="Book Antiqua" w:cs="Book Antiqua"/>
          <w:color w:val="B94040"/>
          <w:sz w:val="22"/>
          <w:szCs w:val="22"/>
        </w:rPr>
        <w:t xml:space="preserve">IM : </w:t>
      </w:r>
      <w:r w:rsidR="00986B55" w:rsidRPr="00B002E3">
        <w:rPr>
          <w:rFonts w:ascii="Book Antiqua" w:eastAsia="Book Antiqua" w:hAnsi="Book Antiqua" w:cs="Book Antiqua"/>
          <w:color w:val="000000" w:themeColor="text1"/>
          <w:sz w:val="22"/>
          <w:szCs w:val="22"/>
        </w:rPr>
        <w:t xml:space="preserve">stress, inflammation, </w:t>
      </w:r>
      <w:proofErr w:type="spellStart"/>
      <w:r w:rsidR="00986B55" w:rsidRPr="00B002E3">
        <w:rPr>
          <w:rFonts w:ascii="Book Antiqua" w:eastAsia="Book Antiqua" w:hAnsi="Book Antiqua" w:cs="Book Antiqua"/>
          <w:color w:val="000000" w:themeColor="text1"/>
          <w:sz w:val="22"/>
          <w:szCs w:val="22"/>
        </w:rPr>
        <w:t>microbiote</w:t>
      </w:r>
      <w:proofErr w:type="spellEnd"/>
    </w:p>
    <w:p w14:paraId="67691594" w14:textId="77777777" w:rsidR="00643344" w:rsidRPr="00B002E3" w:rsidRDefault="00643344" w:rsidP="00643344">
      <w:pPr>
        <w:pStyle w:val="Paragraphedeliste"/>
        <w:spacing w:before="16" w:after="16"/>
        <w:ind w:left="540"/>
        <w:rPr>
          <w:rFonts w:ascii="Book Antiqua" w:hAnsi="Book Antiqua"/>
        </w:rPr>
      </w:pPr>
    </w:p>
    <w:p w14:paraId="3A7E385F" w14:textId="4DC9C8C3" w:rsidR="00986B55" w:rsidRPr="00B002E3" w:rsidRDefault="00D2464B" w:rsidP="00986B55">
      <w:pPr>
        <w:spacing w:before="16" w:after="16"/>
        <w:rPr>
          <w:rFonts w:ascii="Book Antiqua" w:hAnsi="Book Antiqua"/>
          <w:sz w:val="24"/>
          <w:szCs w:val="24"/>
        </w:rPr>
      </w:pPr>
      <w:r w:rsidRPr="00B002E3">
        <w:rPr>
          <w:rFonts w:ascii="Book Antiqua" w:hAnsi="Book Antiqua"/>
          <w:b/>
          <w:bCs/>
          <w:sz w:val="24"/>
          <w:szCs w:val="24"/>
        </w:rPr>
        <w:t xml:space="preserve">Anti Oxydant : </w:t>
      </w:r>
      <w:r w:rsidRPr="00B002E3">
        <w:rPr>
          <w:rFonts w:ascii="Book Antiqua" w:hAnsi="Book Antiqua"/>
          <w:sz w:val="24"/>
          <w:szCs w:val="24"/>
        </w:rPr>
        <w:t>Lorsqu’il y a inflammation</w:t>
      </w:r>
      <w:r w:rsidR="00EB57B8" w:rsidRPr="00B002E3">
        <w:rPr>
          <w:rFonts w:ascii="Book Antiqua" w:hAnsi="Book Antiqua"/>
          <w:sz w:val="24"/>
          <w:szCs w:val="24"/>
        </w:rPr>
        <w:t xml:space="preserve">, il y a l’oxydation qui est le prix </w:t>
      </w:r>
      <w:r w:rsidR="00664802" w:rsidRPr="00B002E3">
        <w:rPr>
          <w:rFonts w:ascii="Book Antiqua" w:hAnsi="Book Antiqua"/>
          <w:sz w:val="24"/>
          <w:szCs w:val="24"/>
        </w:rPr>
        <w:t>à payer</w:t>
      </w:r>
      <w:r w:rsidR="00FE1500" w:rsidRPr="00B002E3">
        <w:rPr>
          <w:rFonts w:ascii="Book Antiqua" w:hAnsi="Book Antiqua"/>
          <w:sz w:val="24"/>
          <w:szCs w:val="24"/>
        </w:rPr>
        <w:t xml:space="preserve">, libération des radicaux libres Anti </w:t>
      </w:r>
      <w:proofErr w:type="spellStart"/>
      <w:r w:rsidR="00FE1500" w:rsidRPr="00B002E3">
        <w:rPr>
          <w:rFonts w:ascii="Book Antiqua" w:hAnsi="Book Antiqua"/>
          <w:sz w:val="24"/>
          <w:szCs w:val="24"/>
        </w:rPr>
        <w:t>Oxy</w:t>
      </w:r>
      <w:proofErr w:type="spellEnd"/>
      <w:r w:rsidR="00FE1500" w:rsidRPr="00B002E3">
        <w:rPr>
          <w:rFonts w:ascii="Book Antiqua" w:hAnsi="Book Antiqua"/>
          <w:sz w:val="24"/>
          <w:szCs w:val="24"/>
        </w:rPr>
        <w:t>. (Dans no</w:t>
      </w:r>
      <w:r w:rsidR="00643344" w:rsidRPr="00B002E3">
        <w:rPr>
          <w:rFonts w:ascii="Book Antiqua" w:hAnsi="Book Antiqua"/>
          <w:sz w:val="24"/>
          <w:szCs w:val="24"/>
        </w:rPr>
        <w:t>tre environnement, plus possible de faire sans Anti-Oxydant….</w:t>
      </w:r>
      <w:r w:rsidR="008C3C04" w:rsidRPr="00B002E3">
        <w:rPr>
          <w:rFonts w:ascii="Book Antiqua" w:hAnsi="Book Antiqua"/>
          <w:sz w:val="24"/>
          <w:szCs w:val="24"/>
        </w:rPr>
        <w:t xml:space="preserve"> </w:t>
      </w:r>
    </w:p>
    <w:p w14:paraId="32C364AC" w14:textId="5127B608" w:rsidR="008C3C04" w:rsidRPr="00B002E3" w:rsidRDefault="00AF7DF2" w:rsidP="00986B55">
      <w:pPr>
        <w:spacing w:before="16" w:after="16"/>
        <w:rPr>
          <w:rFonts w:ascii="Book Antiqua" w:hAnsi="Book Antiqua"/>
          <w:sz w:val="24"/>
          <w:szCs w:val="24"/>
        </w:rPr>
      </w:pPr>
      <w:r w:rsidRPr="00B002E3">
        <w:rPr>
          <w:rFonts w:ascii="Book Antiqua" w:hAnsi="Book Antiqua"/>
          <w:noProof/>
        </w:rPr>
        <w:drawing>
          <wp:anchor distT="0" distB="0" distL="114300" distR="114300" simplePos="0" relativeHeight="251665408" behindDoc="0" locked="0" layoutInCell="1" allowOverlap="1" wp14:anchorId="7371FAD3" wp14:editId="01E1A876">
            <wp:simplePos x="0" y="0"/>
            <wp:positionH relativeFrom="column">
              <wp:posOffset>-166958</wp:posOffset>
            </wp:positionH>
            <wp:positionV relativeFrom="paragraph">
              <wp:posOffset>283829</wp:posOffset>
            </wp:positionV>
            <wp:extent cx="5760720" cy="2300605"/>
            <wp:effectExtent l="0" t="0" r="5080" b="0"/>
            <wp:wrapTopAndBottom/>
            <wp:docPr id="1564141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41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3C04" w:rsidRPr="00B002E3">
        <w:rPr>
          <w:rFonts w:ascii="Book Antiqua" w:hAnsi="Book Antiqua"/>
          <w:sz w:val="24"/>
          <w:szCs w:val="24"/>
        </w:rPr>
        <w:t>Faire les fondations, avant tout choses sinon cela part aux toilettes.</w:t>
      </w:r>
    </w:p>
    <w:p w14:paraId="3AF52905" w14:textId="77777777" w:rsidR="00144AA1" w:rsidRPr="00B002E3" w:rsidRDefault="00144AA1" w:rsidP="00986B55">
      <w:pPr>
        <w:spacing w:before="16" w:after="16"/>
        <w:rPr>
          <w:rFonts w:ascii="Book Antiqua" w:hAnsi="Book Antiqua"/>
          <w:sz w:val="24"/>
          <w:szCs w:val="24"/>
        </w:rPr>
      </w:pPr>
    </w:p>
    <w:p w14:paraId="45F57371" w14:textId="61551815" w:rsidR="008C3C04" w:rsidRPr="00B002E3" w:rsidRDefault="0014009B" w:rsidP="00986B55">
      <w:pPr>
        <w:spacing w:before="16" w:after="16"/>
        <w:rPr>
          <w:rFonts w:ascii="Book Antiqua" w:hAnsi="Book Antiqua"/>
          <w:sz w:val="24"/>
          <w:szCs w:val="24"/>
        </w:rPr>
      </w:pPr>
      <w:proofErr w:type="spellStart"/>
      <w:r w:rsidRPr="00B002E3">
        <w:rPr>
          <w:rFonts w:ascii="Book Antiqua" w:hAnsi="Book Antiqua"/>
          <w:sz w:val="24"/>
          <w:szCs w:val="24"/>
        </w:rPr>
        <w:t>Permear</w:t>
      </w:r>
      <w:r w:rsidR="00144AA1" w:rsidRPr="00B002E3">
        <w:rPr>
          <w:rFonts w:ascii="Book Antiqua" w:hAnsi="Book Antiqua"/>
          <w:sz w:val="24"/>
          <w:szCs w:val="24"/>
        </w:rPr>
        <w:t>oyale</w:t>
      </w:r>
      <w:proofErr w:type="spellEnd"/>
      <w:r w:rsidR="00144AA1" w:rsidRPr="00B002E3">
        <w:rPr>
          <w:rFonts w:ascii="Book Antiqua" w:hAnsi="Book Antiqua"/>
          <w:sz w:val="24"/>
          <w:szCs w:val="24"/>
        </w:rPr>
        <w:t xml:space="preserve"> (de la royale)</w:t>
      </w:r>
    </w:p>
    <w:p w14:paraId="7AB4A8CC" w14:textId="74381A09" w:rsidR="009911B5" w:rsidRPr="00B002E3" w:rsidRDefault="009911B5">
      <w:pPr>
        <w:spacing w:before="20" w:after="5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500"/>
        <w:gridCol w:w="3160"/>
      </w:tblGrid>
      <w:tr w:rsidR="009911B5" w:rsidRPr="00B002E3" w14:paraId="1F94B829" w14:textId="77777777"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C8601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Axe</w:t>
            </w:r>
          </w:p>
        </w:tc>
        <w:tc>
          <w:tcPr>
            <w:tcW w:w="35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DC3C7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Interventions clés</w:t>
            </w:r>
          </w:p>
        </w:tc>
        <w:tc>
          <w:tcPr>
            <w:tcW w:w="3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FCAD64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Compléments / précisions</w:t>
            </w:r>
          </w:p>
        </w:tc>
      </w:tr>
      <w:tr w:rsidR="009911B5" w:rsidRPr="00B002E3" w14:paraId="59769215" w14:textId="77777777"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69C6C7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Alimentation</w:t>
            </w:r>
          </w:p>
        </w:tc>
        <w:tc>
          <w:tcPr>
            <w:tcW w:w="35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FB7784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Diète méditerranéenne, IG bas, anti-oxydants, éviction gluten / lactose</w:t>
            </w:r>
          </w:p>
        </w:tc>
        <w:tc>
          <w:tcPr>
            <w:tcW w:w="3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4D7C6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Poisson 2×/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sem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(iode)</w:t>
            </w:r>
          </w:p>
        </w:tc>
      </w:tr>
      <w:tr w:rsidR="009911B5" w:rsidRPr="00B002E3" w14:paraId="44D7EE35" w14:textId="77777777"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CF1096" w14:textId="77777777" w:rsidR="009911B5" w:rsidRPr="00B002E3" w:rsidRDefault="00840FF2">
            <w:pPr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Microbiote</w:t>
            </w:r>
            <w:proofErr w:type="spellEnd"/>
          </w:p>
        </w:tc>
        <w:tc>
          <w:tcPr>
            <w:tcW w:w="35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BC25FC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L-Glutamine, n-Butyrate, pré &amp;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probiotiques</w:t>
            </w:r>
            <w:proofErr w:type="spellEnd"/>
          </w:p>
        </w:tc>
        <w:tc>
          <w:tcPr>
            <w:tcW w:w="3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09DFB4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Enzymes digestives si besoin</w:t>
            </w:r>
          </w:p>
        </w:tc>
      </w:tr>
      <w:tr w:rsidR="009911B5" w:rsidRPr="00B002E3" w14:paraId="64F57825" w14:textId="77777777"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A3DCC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Inflammation</w:t>
            </w:r>
          </w:p>
        </w:tc>
        <w:tc>
          <w:tcPr>
            <w:tcW w:w="35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18D16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EPA/DHA,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resvératrol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astaxanthine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curcuma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Reishi</w:t>
            </w:r>
            <w:proofErr w:type="spellEnd"/>
          </w:p>
        </w:tc>
        <w:tc>
          <w:tcPr>
            <w:tcW w:w="3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E2D88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Vérifier intolérances alim.</w:t>
            </w:r>
          </w:p>
        </w:tc>
      </w:tr>
      <w:tr w:rsidR="009911B5" w:rsidRPr="00B002E3" w14:paraId="353C33C2" w14:textId="77777777"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F170E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Antioxydants</w:t>
            </w:r>
          </w:p>
        </w:tc>
        <w:tc>
          <w:tcPr>
            <w:tcW w:w="35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F45857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Sélénium, zinc, cuivre, Mn, vit A/C/E, NAC, CoQ10</w:t>
            </w:r>
          </w:p>
        </w:tc>
        <w:tc>
          <w:tcPr>
            <w:tcW w:w="3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EDDCCA" w14:textId="77777777" w:rsidR="009911B5" w:rsidRPr="00B002E3" w:rsidRDefault="00840FF2">
            <w:pPr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Chélateurs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métaux lourds</w:t>
            </w:r>
          </w:p>
        </w:tc>
      </w:tr>
      <w:tr w:rsidR="009911B5" w:rsidRPr="00B002E3" w14:paraId="1C6489F0" w14:textId="77777777"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A7569" w14:textId="77777777" w:rsidR="009911B5" w:rsidRPr="00B002E3" w:rsidRDefault="00840FF2">
            <w:pPr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1A5276"/>
                <w:sz w:val="21"/>
                <w:szCs w:val="21"/>
              </w:rPr>
              <w:t>Hypo</w:t>
            </w:r>
            <w:proofErr w:type="spellEnd"/>
            <w:r w:rsidRPr="00B002E3">
              <w:rPr>
                <w:rFonts w:ascii="Book Antiqua" w:eastAsia="Book Antiqua" w:hAnsi="Book Antiqua" w:cs="Book Antiqua"/>
                <w:b/>
                <w:bCs/>
                <w:color w:val="1A5276"/>
                <w:sz w:val="21"/>
                <w:szCs w:val="21"/>
              </w:rPr>
              <w:t xml:space="preserve"> – Thyroïde</w:t>
            </w:r>
          </w:p>
        </w:tc>
        <w:tc>
          <w:tcPr>
            <w:tcW w:w="35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973879" w14:textId="77777777" w:rsidR="009911B5" w:rsidRPr="00B002E3" w:rsidRDefault="00840FF2">
            <w:pPr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L-Tyrosine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Gugul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(T4→T3),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Bacopa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Éleuthérocoque</w:t>
            </w:r>
            <w:proofErr w:type="spellEnd"/>
          </w:p>
        </w:tc>
        <w:tc>
          <w:tcPr>
            <w:tcW w:w="3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5E7969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Iode, Sélénium, Zinc, Mg, vit B</w:t>
            </w:r>
          </w:p>
        </w:tc>
      </w:tr>
      <w:tr w:rsidR="009911B5" w:rsidRPr="00B002E3" w14:paraId="63096344" w14:textId="77777777"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CE9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C7907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0000"/>
                <w:sz w:val="21"/>
                <w:szCs w:val="21"/>
              </w:rPr>
              <w:t>Hyper – Thyroïde</w:t>
            </w:r>
          </w:p>
        </w:tc>
        <w:tc>
          <w:tcPr>
            <w:tcW w:w="35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BEE43" w14:textId="77777777" w:rsidR="009911B5" w:rsidRPr="00B002E3" w:rsidRDefault="00840FF2">
            <w:pPr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L-Carnitine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2–4 g/j,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Lycope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TM 30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gtt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× 3/j, jus de chou</w:t>
            </w:r>
          </w:p>
        </w:tc>
        <w:tc>
          <w:tcPr>
            <w:tcW w:w="3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06FAF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Mélisse,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Lithosperme</w:t>
            </w:r>
            <w:proofErr w:type="spellEnd"/>
          </w:p>
        </w:tc>
      </w:tr>
      <w:tr w:rsidR="009911B5" w:rsidRPr="00B002E3" w14:paraId="1F151BB0" w14:textId="77777777"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CE9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2079C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0000"/>
                <w:sz w:val="21"/>
                <w:szCs w:val="21"/>
              </w:rPr>
              <w:t>Stress / SNA</w:t>
            </w:r>
          </w:p>
        </w:tc>
        <w:tc>
          <w:tcPr>
            <w:tcW w:w="35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AD8B1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Plantes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adaptogènes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, sophrologie, yoga, sommeil +++</w:t>
            </w:r>
          </w:p>
        </w:tc>
        <w:tc>
          <w:tcPr>
            <w:tcW w:w="3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37E33A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Valériane, aubépine</w:t>
            </w:r>
          </w:p>
        </w:tc>
      </w:tr>
      <w:tr w:rsidR="009911B5" w:rsidRPr="00B002E3" w14:paraId="694D540E" w14:textId="77777777">
        <w:tc>
          <w:tcPr>
            <w:tcW w:w="21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CE9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3ECE8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7B0000"/>
                <w:sz w:val="21"/>
                <w:szCs w:val="21"/>
              </w:rPr>
              <w:lastRenderedPageBreak/>
              <w:t>Auto-immunité</w:t>
            </w:r>
          </w:p>
        </w:tc>
        <w:tc>
          <w:tcPr>
            <w:tcW w:w="35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43C12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Vit D, contrôle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insulino-résistance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>, gestion stress chronique</w:t>
            </w:r>
          </w:p>
        </w:tc>
        <w:tc>
          <w:tcPr>
            <w:tcW w:w="3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F17CCB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Réglisse, prêle</w:t>
            </w:r>
          </w:p>
        </w:tc>
      </w:tr>
    </w:tbl>
    <w:p w14:paraId="569E94E5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1CC3000B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Plantes — Hyperthyroïdie</w:t>
      </w:r>
    </w:p>
    <w:p w14:paraId="7FE55A38" w14:textId="0BF7BDA9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Lycope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Lycopus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europaeus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TM 30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gtt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× 3/j —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antithyréotrope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, inhibe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désiodase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T4→T3, inhibe IgG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Basedow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, tachycardie</w:t>
      </w:r>
      <w:r w:rsidR="006B727D" w:rsidRPr="00B002E3">
        <w:rPr>
          <w:rFonts w:ascii="Book Antiqua" w:eastAsia="Book Antiqua" w:hAnsi="Book Antiqua" w:cs="Book Antiqua"/>
          <w:sz w:val="22"/>
          <w:szCs w:val="22"/>
        </w:rPr>
        <w:t>. On ne retirer pas l’Iode même si Hyperthyroïdie.</w:t>
      </w:r>
    </w:p>
    <w:p w14:paraId="1CC30757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Mélisse (Melissa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officinalis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 w:rsidRPr="00B002E3">
        <w:rPr>
          <w:rFonts w:ascii="Book Antiqua" w:eastAsia="Book Antiqua" w:hAnsi="Book Antiqua" w:cs="Book Antiqua"/>
          <w:sz w:val="22"/>
          <w:szCs w:val="22"/>
        </w:rPr>
        <w:t>Inhibe fixation TSH — anxiolytique, antispasmodique</w:t>
      </w:r>
    </w:p>
    <w:p w14:paraId="00FD44CA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  <w:sz w:val="24"/>
          <w:szCs w:val="24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4"/>
          <w:szCs w:val="24"/>
        </w:rPr>
        <w:t>Lithosperme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4"/>
          <w:szCs w:val="24"/>
        </w:rPr>
        <w:t xml:space="preserve"> (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4"/>
          <w:szCs w:val="24"/>
        </w:rPr>
        <w:t>Lithospermum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4"/>
          <w:szCs w:val="24"/>
        </w:rPr>
        <w:t xml:space="preserve"> officinale) : </w:t>
      </w:r>
      <w:r w:rsidRPr="00B002E3">
        <w:rPr>
          <w:rFonts w:ascii="Book Antiqua" w:eastAsia="Book Antiqua" w:hAnsi="Book Antiqua" w:cs="Book Antiqua"/>
          <w:sz w:val="24"/>
          <w:szCs w:val="24"/>
        </w:rPr>
        <w:t xml:space="preserve">Activité </w:t>
      </w:r>
      <w:proofErr w:type="spellStart"/>
      <w:r w:rsidRPr="00B002E3">
        <w:rPr>
          <w:rFonts w:ascii="Book Antiqua" w:eastAsia="Book Antiqua" w:hAnsi="Book Antiqua" w:cs="Book Antiqua"/>
          <w:sz w:val="24"/>
          <w:szCs w:val="24"/>
        </w:rPr>
        <w:t>antithyréotrope</w:t>
      </w:r>
      <w:proofErr w:type="spellEnd"/>
    </w:p>
    <w:p w14:paraId="6B97BBAF" w14:textId="06F7F863" w:rsidR="00E853EB" w:rsidRPr="00B002E3" w:rsidRDefault="00945B64" w:rsidP="00945B64">
      <w:pPr>
        <w:spacing w:before="16" w:after="16"/>
        <w:rPr>
          <w:rFonts w:ascii="Book Antiqua" w:hAnsi="Book Antiqua"/>
          <w:sz w:val="22"/>
          <w:szCs w:val="22"/>
        </w:rPr>
      </w:pPr>
      <w:r w:rsidRPr="00B002E3">
        <w:rPr>
          <w:rFonts w:ascii="Book Antiqua" w:hAnsi="Book Antiqua"/>
          <w:sz w:val="24"/>
          <w:szCs w:val="24"/>
        </w:rPr>
        <w:t>Ces plantes</w:t>
      </w:r>
      <w:r w:rsidR="00C0663C" w:rsidRPr="00B002E3">
        <w:rPr>
          <w:rFonts w:ascii="Book Antiqua" w:hAnsi="Book Antiqua"/>
          <w:sz w:val="24"/>
          <w:szCs w:val="24"/>
        </w:rPr>
        <w:t xml:space="preserve"> elles vont </w:t>
      </w:r>
      <w:r w:rsidR="00F13196" w:rsidRPr="00B002E3">
        <w:rPr>
          <w:rFonts w:ascii="Book Antiqua" w:hAnsi="Book Antiqua"/>
          <w:sz w:val="24"/>
          <w:szCs w:val="24"/>
        </w:rPr>
        <w:t>interagir</w:t>
      </w:r>
      <w:r w:rsidR="00C0663C" w:rsidRPr="00B002E3">
        <w:rPr>
          <w:rFonts w:ascii="Book Antiqua" w:hAnsi="Book Antiqua"/>
          <w:sz w:val="24"/>
          <w:szCs w:val="24"/>
        </w:rPr>
        <w:t xml:space="preserve"> avec les immunoglo</w:t>
      </w:r>
      <w:r w:rsidR="00F15A14" w:rsidRPr="00B002E3">
        <w:rPr>
          <w:rFonts w:ascii="Book Antiqua" w:hAnsi="Book Antiqua"/>
          <w:sz w:val="24"/>
          <w:szCs w:val="24"/>
        </w:rPr>
        <w:t xml:space="preserve">bulines dans la maladie de </w:t>
      </w:r>
      <w:proofErr w:type="spellStart"/>
      <w:r w:rsidR="00F15A14" w:rsidRPr="00B002E3">
        <w:rPr>
          <w:rFonts w:ascii="Book Antiqua" w:hAnsi="Book Antiqua"/>
          <w:sz w:val="24"/>
          <w:szCs w:val="24"/>
        </w:rPr>
        <w:t>Basedow</w:t>
      </w:r>
      <w:proofErr w:type="spellEnd"/>
      <w:r w:rsidR="00F15A14" w:rsidRPr="00B002E3">
        <w:rPr>
          <w:rFonts w:ascii="Book Antiqua" w:hAnsi="Book Antiqua"/>
          <w:sz w:val="24"/>
          <w:szCs w:val="24"/>
        </w:rPr>
        <w:t>, elles</w:t>
      </w:r>
      <w:r w:rsidRPr="00B002E3">
        <w:rPr>
          <w:rFonts w:ascii="Book Antiqua" w:hAnsi="Book Antiqua"/>
          <w:sz w:val="24"/>
          <w:szCs w:val="24"/>
        </w:rPr>
        <w:t xml:space="preserve"> vont</w:t>
      </w:r>
      <w:r w:rsidR="00F15A14" w:rsidRPr="00B002E3">
        <w:rPr>
          <w:rFonts w:ascii="Book Antiqua" w:hAnsi="Book Antiqua"/>
          <w:sz w:val="24"/>
          <w:szCs w:val="24"/>
        </w:rPr>
        <w:t xml:space="preserve"> pouvoir </w:t>
      </w:r>
      <w:r w:rsidR="00F13196" w:rsidRPr="00B002E3">
        <w:rPr>
          <w:rFonts w:ascii="Book Antiqua" w:hAnsi="Book Antiqua"/>
          <w:sz w:val="24"/>
          <w:szCs w:val="24"/>
        </w:rPr>
        <w:t>inhiber la</w:t>
      </w:r>
      <w:r w:rsidRPr="00B002E3">
        <w:rPr>
          <w:rFonts w:ascii="Book Antiqua" w:hAnsi="Book Antiqua"/>
          <w:sz w:val="24"/>
          <w:szCs w:val="24"/>
        </w:rPr>
        <w:t xml:space="preserve"> capacité de</w:t>
      </w:r>
      <w:r w:rsidR="00DD03EB" w:rsidRPr="00B002E3">
        <w:rPr>
          <w:rFonts w:ascii="Book Antiqua" w:hAnsi="Book Antiqua"/>
          <w:sz w:val="24"/>
          <w:szCs w:val="24"/>
        </w:rPr>
        <w:t>s anti-corps à</w:t>
      </w:r>
      <w:r w:rsidRPr="00B002E3">
        <w:rPr>
          <w:rFonts w:ascii="Book Antiqua" w:hAnsi="Book Antiqua"/>
          <w:sz w:val="24"/>
          <w:szCs w:val="24"/>
        </w:rPr>
        <w:t xml:space="preserve"> se lier aux </w:t>
      </w:r>
      <w:r w:rsidR="00F13196" w:rsidRPr="00B002E3">
        <w:rPr>
          <w:rFonts w:ascii="Book Antiqua" w:hAnsi="Book Antiqua"/>
          <w:sz w:val="24"/>
          <w:szCs w:val="24"/>
        </w:rPr>
        <w:t xml:space="preserve">récepteurs. </w:t>
      </w:r>
    </w:p>
    <w:p w14:paraId="0F44A4FF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L-Carnitine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r w:rsidRPr="00B002E3">
        <w:rPr>
          <w:rFonts w:ascii="Book Antiqua" w:eastAsia="Book Antiqua" w:hAnsi="Book Antiqua" w:cs="Book Antiqua"/>
          <w:sz w:val="22"/>
          <w:szCs w:val="22"/>
        </w:rPr>
        <w:t>2–4 g/j — inhibe pénétration T3/T4 dans le noyau — contre myopathie et fatigue musculaire</w:t>
      </w:r>
    </w:p>
    <w:p w14:paraId="5B30C078" w14:textId="5FB657D7" w:rsidR="00413452" w:rsidRPr="00B002E3" w:rsidRDefault="00840FF2">
      <w:pPr>
        <w:pStyle w:val="p1"/>
        <w:rPr>
          <w:rStyle w:val="s1"/>
          <w:rFonts w:ascii="Book Antiqua" w:hAnsi="Book Antiqua"/>
          <w:sz w:val="22"/>
          <w:szCs w:val="22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Jus de chou (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Brassica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oleracea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2–3×/j en apéritif —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goitrogène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naturel, ralentit fixation iode, améliore transit rapide</w:t>
      </w:r>
      <w:r w:rsidR="006B727D" w:rsidRPr="00B002E3">
        <w:rPr>
          <w:rFonts w:ascii="Book Antiqua" w:eastAsia="Book Antiqua" w:hAnsi="Book Antiqua" w:cs="Book Antiqua"/>
          <w:sz w:val="22"/>
          <w:szCs w:val="22"/>
        </w:rPr>
        <w:t>.</w:t>
      </w:r>
      <w:r w:rsidR="00F56D1E" w:rsidRPr="00B002E3">
        <w:rPr>
          <w:rFonts w:ascii="Book Antiqua" w:eastAsia="Book Antiqua" w:hAnsi="Book Antiqua" w:cs="Book Antiqua"/>
          <w:sz w:val="22"/>
          <w:szCs w:val="22"/>
        </w:rPr>
        <w:t xml:space="preserve"> </w:t>
      </w:r>
    </w:p>
    <w:p w14:paraId="5A71E790" w14:textId="3A36964C" w:rsidR="00F56D1E" w:rsidRPr="00B002E3" w:rsidRDefault="00F56D1E">
      <w:pPr>
        <w:pStyle w:val="p1"/>
        <w:rPr>
          <w:rFonts w:ascii="Book Antiqua" w:hAnsi="Book Antiqua"/>
          <w:sz w:val="22"/>
          <w:szCs w:val="22"/>
        </w:rPr>
      </w:pPr>
      <w:r w:rsidRPr="00B002E3">
        <w:rPr>
          <w:rStyle w:val="s2"/>
          <w:rFonts w:ascii="Book Antiqua" w:hAnsi="Book Antiqua"/>
          <w:sz w:val="22"/>
          <w:szCs w:val="22"/>
        </w:rPr>
        <w:t>Riche en calcium, fer, iode, potassium, soufre</w:t>
      </w:r>
      <w:r w:rsidR="00413452" w:rsidRPr="00B002E3">
        <w:rPr>
          <w:rFonts w:ascii="Book Antiqua" w:hAnsi="Book Antiqua"/>
          <w:sz w:val="22"/>
          <w:szCs w:val="22"/>
        </w:rPr>
        <w:t xml:space="preserve"> </w:t>
      </w:r>
      <w:r w:rsidRPr="00B002E3">
        <w:rPr>
          <w:rStyle w:val="s2"/>
          <w:rFonts w:ascii="Book Antiqua" w:hAnsi="Book Antiqua"/>
          <w:sz w:val="22"/>
          <w:szCs w:val="22"/>
        </w:rPr>
        <w:t>et phosphore. On y trouve aussi</w:t>
      </w:r>
    </w:p>
    <w:p w14:paraId="5ECD546E" w14:textId="77777777" w:rsidR="00F56D1E" w:rsidRPr="00B002E3" w:rsidRDefault="00F56D1E">
      <w:pPr>
        <w:pStyle w:val="p2"/>
        <w:rPr>
          <w:rFonts w:ascii="Book Antiqua" w:hAnsi="Book Antiqua"/>
          <w:sz w:val="22"/>
          <w:szCs w:val="22"/>
        </w:rPr>
      </w:pPr>
      <w:r w:rsidRPr="00B002E3">
        <w:rPr>
          <w:rStyle w:val="s3"/>
          <w:sz w:val="22"/>
          <w:szCs w:val="22"/>
        </w:rPr>
        <w:t>‣</w:t>
      </w:r>
      <w:r w:rsidRPr="00B002E3">
        <w:rPr>
          <w:rStyle w:val="s3"/>
          <w:rFonts w:ascii="Book Antiqua" w:hAnsi="Book Antiqua"/>
          <w:sz w:val="22"/>
          <w:szCs w:val="22"/>
        </w:rPr>
        <w:t xml:space="preserve"> </w:t>
      </w:r>
      <w:r w:rsidRPr="00B002E3">
        <w:rPr>
          <w:rStyle w:val="s4"/>
          <w:rFonts w:ascii="Book Antiqua" w:hAnsi="Book Antiqua"/>
          <w:sz w:val="22"/>
          <w:szCs w:val="22"/>
        </w:rPr>
        <w:t xml:space="preserve">Vitamines A, B1, B2, B6, C, E, K et de </w:t>
      </w:r>
      <w:proofErr w:type="spellStart"/>
      <w:r w:rsidRPr="00B002E3">
        <w:rPr>
          <w:rStyle w:val="s4"/>
          <w:rFonts w:ascii="Book Antiqua" w:hAnsi="Book Antiqua"/>
          <w:sz w:val="22"/>
          <w:szCs w:val="22"/>
        </w:rPr>
        <w:t>folate</w:t>
      </w:r>
      <w:proofErr w:type="spellEnd"/>
      <w:r w:rsidRPr="00B002E3">
        <w:rPr>
          <w:rStyle w:val="s4"/>
          <w:rFonts w:ascii="Book Antiqua" w:hAnsi="Book Antiqua"/>
          <w:sz w:val="22"/>
          <w:szCs w:val="22"/>
        </w:rPr>
        <w:t>.</w:t>
      </w:r>
    </w:p>
    <w:p w14:paraId="062CE6FE" w14:textId="77777777" w:rsidR="00F56D1E" w:rsidRPr="00B002E3" w:rsidRDefault="00F56D1E">
      <w:pPr>
        <w:pStyle w:val="p1"/>
        <w:rPr>
          <w:rFonts w:ascii="Book Antiqua" w:hAnsi="Book Antiqua"/>
          <w:sz w:val="22"/>
          <w:szCs w:val="22"/>
        </w:rPr>
      </w:pPr>
      <w:r w:rsidRPr="00B002E3">
        <w:rPr>
          <w:rStyle w:val="s1"/>
          <w:sz w:val="22"/>
          <w:szCs w:val="22"/>
        </w:rPr>
        <w:t>‣</w:t>
      </w:r>
      <w:r w:rsidRPr="00B002E3">
        <w:rPr>
          <w:rStyle w:val="s1"/>
          <w:rFonts w:ascii="Book Antiqua" w:hAnsi="Book Antiqua"/>
          <w:sz w:val="22"/>
          <w:szCs w:val="22"/>
        </w:rPr>
        <w:t xml:space="preserve"> </w:t>
      </w:r>
      <w:r w:rsidRPr="00B002E3">
        <w:rPr>
          <w:rStyle w:val="s2"/>
          <w:rFonts w:ascii="Book Antiqua" w:hAnsi="Book Antiqua"/>
          <w:sz w:val="22"/>
          <w:szCs w:val="22"/>
        </w:rPr>
        <w:t>Stimule les défenses de l’organisme,</w:t>
      </w:r>
    </w:p>
    <w:p w14:paraId="03A64863" w14:textId="77777777" w:rsidR="00F56D1E" w:rsidRPr="00B002E3" w:rsidRDefault="00F56D1E">
      <w:pPr>
        <w:pStyle w:val="p1"/>
        <w:rPr>
          <w:rFonts w:ascii="Book Antiqua" w:hAnsi="Book Antiqua"/>
          <w:sz w:val="22"/>
          <w:szCs w:val="22"/>
        </w:rPr>
      </w:pPr>
      <w:r w:rsidRPr="00B002E3">
        <w:rPr>
          <w:rStyle w:val="s1"/>
          <w:sz w:val="22"/>
          <w:szCs w:val="22"/>
        </w:rPr>
        <w:t>‣</w:t>
      </w:r>
      <w:r w:rsidRPr="00B002E3">
        <w:rPr>
          <w:rStyle w:val="s1"/>
          <w:rFonts w:ascii="Book Antiqua" w:hAnsi="Book Antiqua"/>
          <w:sz w:val="22"/>
          <w:szCs w:val="22"/>
        </w:rPr>
        <w:t xml:space="preserve"> </w:t>
      </w:r>
      <w:r w:rsidRPr="00B002E3">
        <w:rPr>
          <w:rStyle w:val="s2"/>
          <w:rFonts w:ascii="Book Antiqua" w:hAnsi="Book Antiqua"/>
          <w:sz w:val="22"/>
          <w:szCs w:val="22"/>
        </w:rPr>
        <w:t>S’oppose aux substances cancérigènes,</w:t>
      </w:r>
    </w:p>
    <w:p w14:paraId="63A3C84A" w14:textId="63B85D3F" w:rsidR="00F56D1E" w:rsidRPr="00B002E3" w:rsidRDefault="00F56D1E" w:rsidP="002745C9">
      <w:pPr>
        <w:pStyle w:val="p2"/>
        <w:rPr>
          <w:rFonts w:ascii="Book Antiqua" w:hAnsi="Book Antiqua"/>
          <w:sz w:val="22"/>
          <w:szCs w:val="22"/>
        </w:rPr>
      </w:pPr>
      <w:r w:rsidRPr="00B002E3">
        <w:rPr>
          <w:rStyle w:val="s3"/>
          <w:sz w:val="22"/>
          <w:szCs w:val="22"/>
        </w:rPr>
        <w:t>‣</w:t>
      </w:r>
      <w:r w:rsidRPr="00B002E3">
        <w:rPr>
          <w:rStyle w:val="s3"/>
          <w:rFonts w:ascii="Book Antiqua" w:hAnsi="Book Antiqua"/>
          <w:sz w:val="22"/>
          <w:szCs w:val="22"/>
        </w:rPr>
        <w:t xml:space="preserve"> </w:t>
      </w:r>
      <w:r w:rsidRPr="00B002E3">
        <w:rPr>
          <w:rStyle w:val="s4"/>
          <w:rFonts w:ascii="Book Antiqua" w:hAnsi="Book Antiqua"/>
          <w:sz w:val="22"/>
          <w:szCs w:val="22"/>
        </w:rPr>
        <w:t>Contribue à évacuer les toxines et les</w:t>
      </w:r>
      <w:r w:rsidR="002745C9" w:rsidRPr="00B002E3">
        <w:rPr>
          <w:rStyle w:val="s4"/>
          <w:rFonts w:ascii="Book Antiqua" w:hAnsi="Book Antiqua"/>
          <w:sz w:val="22"/>
          <w:szCs w:val="22"/>
        </w:rPr>
        <w:t xml:space="preserve"> </w:t>
      </w:r>
      <w:r w:rsidRPr="00B002E3">
        <w:rPr>
          <w:rStyle w:val="s2"/>
          <w:rFonts w:ascii="Book Antiqua" w:hAnsi="Book Antiqua"/>
          <w:sz w:val="22"/>
          <w:szCs w:val="22"/>
        </w:rPr>
        <w:t>hormones néfastes</w:t>
      </w:r>
    </w:p>
    <w:p w14:paraId="61782352" w14:textId="63E9CF44" w:rsidR="00F56D1E" w:rsidRPr="00B002E3" w:rsidRDefault="00F56D1E">
      <w:pPr>
        <w:pStyle w:val="p1"/>
        <w:rPr>
          <w:rFonts w:ascii="Book Antiqua" w:hAnsi="Book Antiqua"/>
        </w:rPr>
      </w:pPr>
      <w:r w:rsidRPr="00B002E3">
        <w:rPr>
          <w:rStyle w:val="s1"/>
          <w:sz w:val="22"/>
          <w:szCs w:val="22"/>
        </w:rPr>
        <w:t>‣</w:t>
      </w:r>
      <w:r w:rsidRPr="00B002E3">
        <w:rPr>
          <w:rStyle w:val="s1"/>
          <w:rFonts w:ascii="Book Antiqua" w:hAnsi="Book Antiqua"/>
          <w:sz w:val="22"/>
          <w:szCs w:val="22"/>
        </w:rPr>
        <w:t xml:space="preserve"> </w:t>
      </w:r>
      <w:r w:rsidRPr="00B002E3">
        <w:rPr>
          <w:rStyle w:val="s2"/>
          <w:rFonts w:ascii="Book Antiqua" w:hAnsi="Book Antiqua"/>
          <w:sz w:val="22"/>
          <w:szCs w:val="22"/>
        </w:rPr>
        <w:t>Active en outre la production d’anticorps utiles</w:t>
      </w:r>
      <w:r w:rsidR="002745C9" w:rsidRPr="00B002E3">
        <w:rPr>
          <w:rFonts w:ascii="Book Antiqua" w:hAnsi="Book Antiqua"/>
          <w:sz w:val="22"/>
          <w:szCs w:val="22"/>
        </w:rPr>
        <w:t xml:space="preserve"> </w:t>
      </w:r>
      <w:r w:rsidRPr="00B002E3">
        <w:rPr>
          <w:rStyle w:val="s2"/>
          <w:rFonts w:ascii="Book Antiqua" w:hAnsi="Book Antiqua"/>
          <w:sz w:val="22"/>
          <w:szCs w:val="22"/>
        </w:rPr>
        <w:t>pour lutter contre le cancer</w:t>
      </w:r>
    </w:p>
    <w:p w14:paraId="577A732C" w14:textId="58EFF873" w:rsidR="009911B5" w:rsidRPr="00B002E3" w:rsidRDefault="009911B5" w:rsidP="00B002E3">
      <w:pPr>
        <w:spacing w:before="16" w:after="16"/>
        <w:rPr>
          <w:rFonts w:ascii="Book Antiqua" w:hAnsi="Book Antiqua"/>
        </w:rPr>
      </w:pPr>
    </w:p>
    <w:p w14:paraId="0FA14E98" w14:textId="3F10FEB8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Plantes — Hypothyroïdie</w:t>
      </w:r>
      <w:r w:rsidR="004431F0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 xml:space="preserve"> </w:t>
      </w:r>
    </w:p>
    <w:p w14:paraId="3A50D2CB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Gugul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Commophora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mucul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 w:rsidRPr="00B002E3">
        <w:rPr>
          <w:rFonts w:ascii="Book Antiqua" w:eastAsia="Book Antiqua" w:hAnsi="Book Antiqua" w:cs="Book Antiqua"/>
          <w:sz w:val="22"/>
          <w:szCs w:val="22"/>
        </w:rPr>
        <w:t>Stimule la conversion T4→T3 active</w:t>
      </w:r>
    </w:p>
    <w:p w14:paraId="49B38AB7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Bacopa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Bacopa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</w:t>
      </w: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monnieri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Adaptogène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, redonne de l'énergie</w:t>
      </w:r>
    </w:p>
    <w:p w14:paraId="07DD6793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Éleuthérocoque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Adaptogène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, résistance au stress</w:t>
      </w:r>
    </w:p>
    <w:p w14:paraId="53DB24C1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L-Tyrosine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r w:rsidRPr="00B002E3">
        <w:rPr>
          <w:rFonts w:ascii="Book Antiqua" w:eastAsia="Book Antiqua" w:hAnsi="Book Antiqua" w:cs="Book Antiqua"/>
          <w:sz w:val="22"/>
          <w:szCs w:val="22"/>
        </w:rPr>
        <w:t>Précurseur des HT — associer à l'iode et au zinc</w:t>
      </w:r>
    </w:p>
    <w:p w14:paraId="191DDC5A" w14:textId="77777777" w:rsidR="009911B5" w:rsidRPr="00B002E3" w:rsidRDefault="00840FF2">
      <w:pPr>
        <w:pBdr>
          <w:left w:val="single" w:sz="14" w:space="6" w:color="E8967A"/>
        </w:pBdr>
        <w:spacing w:before="160" w:after="50"/>
        <w:ind w:left="160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>Micronutriments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2E6DA4"/>
          <w:sz w:val="24"/>
          <w:szCs w:val="24"/>
        </w:rPr>
        <w:t xml:space="preserve"> clés</w:t>
      </w:r>
    </w:p>
    <w:p w14:paraId="299B332D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Sélénium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Cofacteur TPO +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désiodase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— réduit Ac anti-TPO — protège stress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oxydatif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 xml:space="preserve">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intrathyroïdien</w:t>
      </w:r>
      <w:proofErr w:type="spellEnd"/>
    </w:p>
    <w:p w14:paraId="42070DF4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Iode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Substrat HT — </w:t>
      </w:r>
      <w:r w:rsidRPr="00B002E3">
        <w:rPr>
          <w:rFonts w:ascii="Apple Color Emoji" w:eastAsia="Book Antiqua" w:hAnsi="Apple Color Emoji" w:cs="Apple Color Emoji"/>
          <w:sz w:val="22"/>
          <w:szCs w:val="22"/>
        </w:rPr>
        <w:t>⚠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 contre-indiqué en excès dans Hashimoto et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Basedow</w:t>
      </w:r>
      <w:proofErr w:type="spellEnd"/>
    </w:p>
    <w:p w14:paraId="23AF23DB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Zinc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Cofacteur enzymatique —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immuno-modulateur</w:t>
      </w:r>
      <w:proofErr w:type="spellEnd"/>
    </w:p>
    <w:p w14:paraId="10FF56B6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Vit D : </w:t>
      </w:r>
      <w:r w:rsidRPr="00B002E3">
        <w:rPr>
          <w:rFonts w:ascii="Book Antiqua" w:eastAsia="Book Antiqua" w:hAnsi="Book Antiqua" w:cs="Book Antiqua"/>
          <w:sz w:val="22"/>
          <w:szCs w:val="22"/>
        </w:rPr>
        <w:t xml:space="preserve">Régule immunité — carence amplifie MAI — cible &gt; 40–60 </w:t>
      </w:r>
      <w:proofErr w:type="spellStart"/>
      <w:r w:rsidRPr="00B002E3">
        <w:rPr>
          <w:rFonts w:ascii="Book Antiqua" w:eastAsia="Book Antiqua" w:hAnsi="Book Antiqua" w:cs="Book Antiqua"/>
          <w:sz w:val="22"/>
          <w:szCs w:val="22"/>
        </w:rPr>
        <w:t>ng</w:t>
      </w:r>
      <w:proofErr w:type="spellEnd"/>
      <w:r w:rsidRPr="00B002E3">
        <w:rPr>
          <w:rFonts w:ascii="Book Antiqua" w:eastAsia="Book Antiqua" w:hAnsi="Book Antiqua" w:cs="Book Antiqua"/>
          <w:sz w:val="22"/>
          <w:szCs w:val="22"/>
        </w:rPr>
        <w:t>/mL</w:t>
      </w:r>
    </w:p>
    <w:p w14:paraId="2EAE48E7" w14:textId="77777777" w:rsidR="009911B5" w:rsidRPr="00B002E3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Magnésium : </w:t>
      </w:r>
      <w:r w:rsidRPr="00B002E3">
        <w:rPr>
          <w:rFonts w:ascii="Book Antiqua" w:eastAsia="Book Antiqua" w:hAnsi="Book Antiqua" w:cs="Book Antiqua"/>
          <w:sz w:val="22"/>
          <w:szCs w:val="22"/>
        </w:rPr>
        <w:t>Anti-stress, cofacteur enzymes thyroïdiennes</w:t>
      </w:r>
    </w:p>
    <w:p w14:paraId="6F2F9604" w14:textId="77777777" w:rsidR="009911B5" w:rsidRPr="00130481" w:rsidRDefault="00840FF2">
      <w:pPr>
        <w:pStyle w:val="Paragraphedeliste"/>
        <w:numPr>
          <w:ilvl w:val="0"/>
          <w:numId w:val="2"/>
        </w:numPr>
        <w:spacing w:before="16" w:after="16"/>
        <w:rPr>
          <w:rFonts w:ascii="Book Antiqua" w:hAnsi="Book Antiqua"/>
        </w:rPr>
      </w:pPr>
      <w:proofErr w:type="spellStart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Ferritine</w:t>
      </w:r>
      <w:proofErr w:type="spellEnd"/>
      <w:r w:rsidRPr="00B002E3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r w:rsidRPr="00B002E3">
        <w:rPr>
          <w:rFonts w:ascii="Book Antiqua" w:eastAsia="Book Antiqua" w:hAnsi="Book Antiqua" w:cs="Book Antiqua"/>
          <w:sz w:val="22"/>
          <w:szCs w:val="22"/>
        </w:rPr>
        <w:t>Nécessaire à la TPO — cible &gt; 100 µg/L</w:t>
      </w:r>
    </w:p>
    <w:p w14:paraId="2F45BB89" w14:textId="77777777" w:rsidR="00130481" w:rsidRDefault="00130481" w:rsidP="00130481">
      <w:pPr>
        <w:spacing w:before="16" w:after="16"/>
        <w:rPr>
          <w:rFonts w:ascii="Book Antiqua" w:hAnsi="Book Antiqua"/>
        </w:rPr>
      </w:pPr>
    </w:p>
    <w:p w14:paraId="490D7703" w14:textId="77777777" w:rsidR="00130481" w:rsidRDefault="00130481" w:rsidP="00130481">
      <w:pPr>
        <w:spacing w:before="16" w:after="16"/>
        <w:rPr>
          <w:rFonts w:ascii="Book Antiqua" w:hAnsi="Book Antiqua"/>
        </w:rPr>
      </w:pPr>
    </w:p>
    <w:p w14:paraId="7BE8DC15" w14:textId="77777777" w:rsidR="00130481" w:rsidRDefault="00130481" w:rsidP="00130481">
      <w:pPr>
        <w:spacing w:before="16" w:after="16"/>
        <w:rPr>
          <w:rFonts w:ascii="Book Antiqua" w:hAnsi="Book Antiqua"/>
        </w:rPr>
      </w:pPr>
    </w:p>
    <w:p w14:paraId="2A48127A" w14:textId="77777777" w:rsidR="00130481" w:rsidRDefault="00130481" w:rsidP="00130481">
      <w:pPr>
        <w:spacing w:before="16" w:after="16"/>
        <w:rPr>
          <w:rFonts w:ascii="Book Antiqua" w:hAnsi="Book Antiqua"/>
        </w:rPr>
      </w:pPr>
    </w:p>
    <w:p w14:paraId="687FA763" w14:textId="77777777" w:rsidR="00130481" w:rsidRDefault="00130481" w:rsidP="00130481">
      <w:pPr>
        <w:spacing w:before="16" w:after="16"/>
        <w:rPr>
          <w:rFonts w:ascii="Book Antiqua" w:hAnsi="Book Antiqua"/>
        </w:rPr>
      </w:pPr>
    </w:p>
    <w:p w14:paraId="755A2FC1" w14:textId="77777777" w:rsidR="00130481" w:rsidRDefault="00130481" w:rsidP="00130481">
      <w:pPr>
        <w:spacing w:before="16" w:after="16"/>
        <w:rPr>
          <w:rFonts w:ascii="Book Antiqua" w:hAnsi="Book Antiqua"/>
        </w:rPr>
      </w:pPr>
    </w:p>
    <w:p w14:paraId="787C5F06" w14:textId="77777777" w:rsidR="00130481" w:rsidRDefault="00130481" w:rsidP="00130481">
      <w:pPr>
        <w:spacing w:before="16" w:after="16"/>
        <w:rPr>
          <w:rFonts w:ascii="Book Antiqua" w:hAnsi="Book Antiqua"/>
        </w:rPr>
      </w:pPr>
    </w:p>
    <w:p w14:paraId="48303326" w14:textId="77777777" w:rsidR="00130481" w:rsidRDefault="00130481" w:rsidP="00130481">
      <w:pPr>
        <w:spacing w:before="16" w:after="16"/>
        <w:rPr>
          <w:rFonts w:ascii="Book Antiqua" w:hAnsi="Book Antiqua"/>
        </w:rPr>
      </w:pPr>
    </w:p>
    <w:p w14:paraId="03872429" w14:textId="77777777" w:rsidR="00130481" w:rsidRDefault="00130481" w:rsidP="00130481">
      <w:pPr>
        <w:spacing w:before="16" w:after="16"/>
        <w:rPr>
          <w:rFonts w:ascii="Book Antiqua" w:hAnsi="Book Antiqua"/>
        </w:rPr>
      </w:pPr>
    </w:p>
    <w:p w14:paraId="20C1AC12" w14:textId="77777777" w:rsidR="00130481" w:rsidRPr="00130481" w:rsidRDefault="00130481" w:rsidP="00130481">
      <w:pPr>
        <w:spacing w:before="16" w:after="16"/>
        <w:rPr>
          <w:rFonts w:ascii="Book Antiqua" w:hAnsi="Book Antiqua"/>
        </w:rPr>
      </w:pPr>
    </w:p>
    <w:p w14:paraId="0F9AF7F7" w14:textId="77777777" w:rsidR="009911B5" w:rsidRPr="00B002E3" w:rsidRDefault="009911B5">
      <w:pPr>
        <w:spacing w:before="20" w:after="20"/>
        <w:rPr>
          <w:rFonts w:ascii="Book Antiqua" w:hAnsi="Book Antiqua"/>
        </w:rPr>
      </w:pPr>
    </w:p>
    <w:p w14:paraId="47277068" w14:textId="77777777" w:rsidR="009911B5" w:rsidRPr="00B002E3" w:rsidRDefault="00840FF2">
      <w:pPr>
        <w:spacing w:before="240" w:after="80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b/>
          <w:bCs/>
          <w:color w:val="E8967A"/>
          <w:sz w:val="30"/>
          <w:szCs w:val="30"/>
        </w:rPr>
        <w:lastRenderedPageBreak/>
        <w:t xml:space="preserve">6. </w:t>
      </w:r>
      <w:r w:rsidRPr="00B002E3">
        <w:rPr>
          <w:rFonts w:ascii="Book Antiqua" w:eastAsia="Book Antiqua" w:hAnsi="Book Antiqua" w:cs="Book Antiqua"/>
          <w:b/>
          <w:bCs/>
          <w:color w:val="1F3864"/>
          <w:sz w:val="30"/>
          <w:szCs w:val="30"/>
        </w:rPr>
        <w:t>AIDE-MÉMOIRE — À ne pas confondre</w:t>
      </w:r>
    </w:p>
    <w:p w14:paraId="4F103007" w14:textId="77777777" w:rsidR="009911B5" w:rsidRPr="00B002E3" w:rsidRDefault="009911B5">
      <w:pPr>
        <w:pBdr>
          <w:bottom w:val="single" w:sz="4" w:space="1" w:color="2E6DA4"/>
        </w:pBdr>
        <w:spacing w:before="40" w:after="40"/>
        <w:rPr>
          <w:rFonts w:ascii="Book Antiqua" w:hAnsi="Book Antiqua"/>
        </w:rPr>
      </w:pPr>
    </w:p>
    <w:p w14:paraId="3B0F6C1D" w14:textId="77777777" w:rsidR="009911B5" w:rsidRPr="00B002E3" w:rsidRDefault="009911B5">
      <w:pPr>
        <w:spacing w:before="20" w:after="50"/>
        <w:rPr>
          <w:rFonts w:ascii="Book Antiqua" w:hAnsi="Book Antiqua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260"/>
      </w:tblGrid>
      <w:tr w:rsidR="009911B5" w:rsidRPr="00B002E3" w14:paraId="330F3BB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B359C5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Terme</w:t>
            </w:r>
          </w:p>
        </w:tc>
        <w:tc>
          <w:tcPr>
            <w:tcW w:w="3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87AE1C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Définition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2F5652" w14:textId="77777777" w:rsidR="009911B5" w:rsidRPr="00B002E3" w:rsidRDefault="00840FF2">
            <w:pPr>
              <w:jc w:val="center"/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FFFFFF"/>
                <w:sz w:val="21"/>
                <w:szCs w:val="21"/>
              </w:rPr>
              <w:t>Marqueurs biologiques</w:t>
            </w:r>
          </w:p>
        </w:tc>
      </w:tr>
      <w:tr w:rsidR="009911B5" w:rsidRPr="00B002E3" w14:paraId="37B0847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72B099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Hypothyroïdie</w:t>
            </w:r>
          </w:p>
        </w:tc>
        <w:tc>
          <w:tcPr>
            <w:tcW w:w="3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EDD2FF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Thyroïde sous-active → manque d'HT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44C50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TSH ↑ + T4 ↓ (franche) | T4 normale (frustre)</w:t>
            </w:r>
          </w:p>
        </w:tc>
      </w:tr>
      <w:tr w:rsidR="009911B5" w:rsidRPr="00B002E3" w14:paraId="1D01EAA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D57B55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Hyperthyroïdie</w:t>
            </w:r>
          </w:p>
        </w:tc>
        <w:tc>
          <w:tcPr>
            <w:tcW w:w="3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E919A9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Thyroïde </w:t>
            </w:r>
            <w:proofErr w:type="spellStart"/>
            <w:r w:rsidRPr="00B002E3">
              <w:rPr>
                <w:rFonts w:ascii="Book Antiqua" w:eastAsia="Book Antiqua" w:hAnsi="Book Antiqua" w:cs="Book Antiqua"/>
                <w:color w:val="333333"/>
              </w:rPr>
              <w:t>hyperactive</w:t>
            </w:r>
            <w:proofErr w:type="spellEnd"/>
            <w:r w:rsidRPr="00B002E3">
              <w:rPr>
                <w:rFonts w:ascii="Book Antiqua" w:eastAsia="Book Antiqua" w:hAnsi="Book Antiqua" w:cs="Book Antiqua"/>
                <w:color w:val="333333"/>
              </w:rPr>
              <w:t xml:space="preserve"> → excès d'HT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8A418F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TSH ↓ + T3/T4 ↑</w:t>
            </w:r>
          </w:p>
        </w:tc>
      </w:tr>
      <w:tr w:rsidR="009911B5" w:rsidRPr="00B002E3" w14:paraId="0531DC4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9320F7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Thyroïdite</w:t>
            </w:r>
          </w:p>
        </w:tc>
        <w:tc>
          <w:tcPr>
            <w:tcW w:w="3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6494F3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Inflammation de la thyroïde (toute cause)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B2F36F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Variable selon le type</w:t>
            </w:r>
          </w:p>
        </w:tc>
      </w:tr>
      <w:tr w:rsidR="009911B5" w:rsidRPr="00B002E3" w14:paraId="7A345E9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DBE89B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Hashimoto</w:t>
            </w:r>
          </w:p>
        </w:tc>
        <w:tc>
          <w:tcPr>
            <w:tcW w:w="3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75C39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MAI → destruction progressive → hypothyroïdie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19CF58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Ac anti-TPO ↑ ± anti-Tg ↑ + TSH ↑</w:t>
            </w:r>
          </w:p>
        </w:tc>
      </w:tr>
      <w:tr w:rsidR="009911B5" w:rsidRPr="00B002E3" w14:paraId="6E73120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1E088C" w14:textId="77777777" w:rsidR="009911B5" w:rsidRPr="00B002E3" w:rsidRDefault="00840FF2">
            <w:pPr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Basedow</w:t>
            </w:r>
            <w:proofErr w:type="spellEnd"/>
          </w:p>
        </w:tc>
        <w:tc>
          <w:tcPr>
            <w:tcW w:w="3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3AAB2B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MAI → hyperthyroïdie par Ac stimulants (TRAK)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54EF7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TRAK + | TSH ↓ + T3/T4 ↑</w:t>
            </w:r>
          </w:p>
        </w:tc>
      </w:tr>
      <w:tr w:rsidR="009911B5" w:rsidRPr="00B002E3" w14:paraId="77E8419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673A6" w14:textId="77777777" w:rsidR="009911B5" w:rsidRPr="00B002E3" w:rsidRDefault="00840FF2">
            <w:pPr>
              <w:rPr>
                <w:rFonts w:ascii="Book Antiqua" w:hAnsi="Book Antiqua"/>
              </w:rPr>
            </w:pPr>
            <w:proofErr w:type="spellStart"/>
            <w:r w:rsidRPr="00B002E3"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Hashitoxicose</w:t>
            </w:r>
            <w:proofErr w:type="spellEnd"/>
          </w:p>
        </w:tc>
        <w:tc>
          <w:tcPr>
            <w:tcW w:w="3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F857D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Phase transitoire d'hyper au début de Hashimoto</w:t>
            </w:r>
          </w:p>
        </w:tc>
        <w:tc>
          <w:tcPr>
            <w:tcW w:w="32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0F29E" w14:textId="77777777" w:rsidR="009911B5" w:rsidRPr="00B002E3" w:rsidRDefault="00840FF2">
            <w:pPr>
              <w:rPr>
                <w:rFonts w:ascii="Book Antiqua" w:hAnsi="Book Antiqua"/>
              </w:rPr>
            </w:pPr>
            <w:r w:rsidRPr="00B002E3">
              <w:rPr>
                <w:rFonts w:ascii="Book Antiqua" w:eastAsia="Book Antiqua" w:hAnsi="Book Antiqua" w:cs="Book Antiqua"/>
                <w:color w:val="333333"/>
              </w:rPr>
              <w:t>TSH ↓ transitoire + Ac anti-TPO ↑</w:t>
            </w:r>
          </w:p>
        </w:tc>
      </w:tr>
    </w:tbl>
    <w:p w14:paraId="2428D516" w14:textId="77777777" w:rsidR="009911B5" w:rsidRPr="00B002E3" w:rsidRDefault="009911B5">
      <w:pPr>
        <w:spacing w:before="40"/>
        <w:rPr>
          <w:rFonts w:ascii="Book Antiqua" w:hAnsi="Book Antiqua"/>
        </w:rPr>
      </w:pPr>
    </w:p>
    <w:p w14:paraId="4D836C4E" w14:textId="77777777" w:rsidR="009911B5" w:rsidRPr="00B002E3" w:rsidRDefault="009911B5">
      <w:pPr>
        <w:pBdr>
          <w:bottom w:val="single" w:sz="8" w:space="1" w:color="E8967A"/>
        </w:pBdr>
        <w:spacing w:before="40" w:after="40"/>
        <w:rPr>
          <w:rFonts w:ascii="Book Antiqua" w:hAnsi="Book Antiqua"/>
        </w:rPr>
      </w:pPr>
    </w:p>
    <w:p w14:paraId="45DED8D5" w14:textId="77777777" w:rsidR="009911B5" w:rsidRPr="00B002E3" w:rsidRDefault="00840FF2">
      <w:pPr>
        <w:spacing w:before="30"/>
        <w:jc w:val="center"/>
        <w:rPr>
          <w:rFonts w:ascii="Book Antiqua" w:hAnsi="Book Antiqua"/>
        </w:rPr>
      </w:pPr>
      <w:r w:rsidRPr="00B002E3">
        <w:rPr>
          <w:rFonts w:ascii="Book Antiqua" w:eastAsia="Book Antiqua" w:hAnsi="Book Antiqua" w:cs="Book Antiqua"/>
          <w:i/>
          <w:iCs/>
          <w:color w:val="AAAAAA"/>
          <w:sz w:val="17"/>
          <w:szCs w:val="17"/>
        </w:rPr>
        <w:t>ESN — Module 12 — Thyroïdites | Fiche de révision V3 — générée depuis le support Pascale Faivre (25/03/2026)</w:t>
      </w:r>
    </w:p>
    <w:sectPr w:rsidR="009911B5" w:rsidRPr="00B002E3" w:rsidSect="004C1AC9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070D" w14:textId="77777777" w:rsidR="00840FF2" w:rsidRDefault="00840FF2">
      <w:r>
        <w:separator/>
      </w:r>
    </w:p>
  </w:endnote>
  <w:endnote w:type="continuationSeparator" w:id="0">
    <w:p w14:paraId="3AF5ABEC" w14:textId="77777777" w:rsidR="00840FF2" w:rsidRDefault="00840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F6B62" w14:textId="77777777" w:rsidR="009911B5" w:rsidRDefault="00840FF2">
    <w:pPr>
      <w:pBdr>
        <w:top w:val="single" w:sz="4" w:space="1" w:color="D0D0D0"/>
      </w:pBdr>
      <w:jc w:val="center"/>
    </w:pPr>
    <w:r>
      <w:rPr>
        <w:rFonts w:ascii="Book Antiqua" w:eastAsia="Book Antiqua" w:hAnsi="Book Antiqua" w:cs="Book Antiqua"/>
        <w:i/>
        <w:iCs/>
        <w:color w:val="AAAAAA"/>
        <w:sz w:val="17"/>
        <w:szCs w:val="17"/>
      </w:rPr>
      <w:t xml:space="preserve">Fiche de révision V3 </w:t>
    </w:r>
    <w:r>
      <w:rPr>
        <w:rFonts w:ascii="Book Antiqua" w:eastAsia="Book Antiqua" w:hAnsi="Book Antiqua" w:cs="Book Antiqua"/>
        <w:color w:val="AAAAAA"/>
        <w:sz w:val="17"/>
        <w:szCs w:val="17"/>
      </w:rPr>
      <w:fldChar w:fldCharType="begin"/>
    </w:r>
    <w:r>
      <w:rPr>
        <w:rFonts w:ascii="Book Antiqua" w:eastAsia="Book Antiqua" w:hAnsi="Book Antiqua" w:cs="Book Antiqua"/>
        <w:color w:val="AAAAAA"/>
        <w:sz w:val="17"/>
        <w:szCs w:val="17"/>
      </w:rPr>
      <w:instrText>PAGE</w:instrText>
    </w:r>
    <w:r>
      <w:rPr>
        <w:rFonts w:ascii="Book Antiqua" w:eastAsia="Book Antiqua" w:hAnsi="Book Antiqua" w:cs="Book Antiqua"/>
        <w:color w:val="AAAAAA"/>
        <w:sz w:val="17"/>
        <w:szCs w:val="17"/>
      </w:rPr>
      <w:fldChar w:fldCharType="separate"/>
    </w:r>
    <w:r w:rsidR="00F3106E">
      <w:rPr>
        <w:rFonts w:ascii="Book Antiqua" w:eastAsia="Book Antiqua" w:hAnsi="Book Antiqua" w:cs="Book Antiqua"/>
        <w:noProof/>
        <w:color w:val="AAAAAA"/>
        <w:sz w:val="17"/>
        <w:szCs w:val="17"/>
      </w:rPr>
      <w:t>1</w:t>
    </w:r>
    <w:r>
      <w:rPr>
        <w:rFonts w:ascii="Book Antiqua" w:eastAsia="Book Antiqua" w:hAnsi="Book Antiqua" w:cs="Book Antiqua"/>
        <w:color w:val="AAAAAA"/>
        <w:sz w:val="17"/>
        <w:szCs w:val="17"/>
      </w:rPr>
      <w:fldChar w:fldCharType="end"/>
    </w:r>
    <w:r>
      <w:rPr>
        <w:rFonts w:ascii="Book Antiqua" w:eastAsia="Book Antiqua" w:hAnsi="Book Antiqua" w:cs="Book Antiqua"/>
        <w:i/>
        <w:iCs/>
        <w:color w:val="AAAAAA"/>
        <w:sz w:val="17"/>
        <w:szCs w:val="17"/>
      </w:rPr>
      <w:t xml:space="preserve"> / </w:t>
    </w:r>
    <w:r>
      <w:rPr>
        <w:rFonts w:ascii="Book Antiqua" w:eastAsia="Book Antiqua" w:hAnsi="Book Antiqua" w:cs="Book Antiqua"/>
        <w:color w:val="AAAAAA"/>
        <w:sz w:val="17"/>
        <w:szCs w:val="17"/>
      </w:rPr>
      <w:fldChar w:fldCharType="begin"/>
    </w:r>
    <w:r>
      <w:rPr>
        <w:rFonts w:ascii="Book Antiqua" w:eastAsia="Book Antiqua" w:hAnsi="Book Antiqua" w:cs="Book Antiqua"/>
        <w:color w:val="AAAAAA"/>
        <w:sz w:val="17"/>
        <w:szCs w:val="17"/>
      </w:rPr>
      <w:instrText>NUMPAGES</w:instrText>
    </w:r>
    <w:r>
      <w:rPr>
        <w:rFonts w:ascii="Book Antiqua" w:eastAsia="Book Antiqua" w:hAnsi="Book Antiqua" w:cs="Book Antiqua"/>
        <w:color w:val="AAAAAA"/>
        <w:sz w:val="17"/>
        <w:szCs w:val="17"/>
      </w:rPr>
      <w:fldChar w:fldCharType="separate"/>
    </w:r>
    <w:r w:rsidR="00F3106E">
      <w:rPr>
        <w:rFonts w:ascii="Book Antiqua" w:eastAsia="Book Antiqua" w:hAnsi="Book Antiqua" w:cs="Book Antiqua"/>
        <w:noProof/>
        <w:color w:val="AAAAAA"/>
        <w:sz w:val="17"/>
        <w:szCs w:val="17"/>
      </w:rPr>
      <w:t>2</w:t>
    </w:r>
    <w:r>
      <w:rPr>
        <w:rFonts w:ascii="Book Antiqua" w:eastAsia="Book Antiqua" w:hAnsi="Book Antiqua" w:cs="Book Antiqua"/>
        <w:color w:val="AAAAA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8DCD2" w14:textId="77777777" w:rsidR="00840FF2" w:rsidRDefault="00840FF2">
      <w:r>
        <w:separator/>
      </w:r>
    </w:p>
  </w:footnote>
  <w:footnote w:type="continuationSeparator" w:id="0">
    <w:p w14:paraId="572CDF0E" w14:textId="77777777" w:rsidR="00840FF2" w:rsidRDefault="00840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7C7B" w14:textId="77777777" w:rsidR="009911B5" w:rsidRDefault="00840FF2">
    <w:pPr>
      <w:pBdr>
        <w:bottom w:val="single" w:sz="4" w:space="1" w:color="D0D0D0"/>
      </w:pBdr>
      <w:jc w:val="right"/>
    </w:pPr>
    <w:r>
      <w:rPr>
        <w:rFonts w:ascii="Book Antiqua" w:eastAsia="Book Antiqua" w:hAnsi="Book Antiqua" w:cs="Book Antiqua"/>
        <w:i/>
        <w:iCs/>
        <w:color w:val="AAAAAA"/>
        <w:sz w:val="18"/>
        <w:szCs w:val="18"/>
      </w:rPr>
      <w:t>ESN — Module 12 — Thyroïdites | Pascale FAIVRE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58EF"/>
    <w:multiLevelType w:val="hybridMultilevel"/>
    <w:tmpl w:val="FFFFFFFF"/>
    <w:lvl w:ilvl="0" w:tplc="131C841A">
      <w:start w:val="1"/>
      <w:numFmt w:val="bullet"/>
      <w:lvlText w:val="●"/>
      <w:lvlJc w:val="left"/>
      <w:pPr>
        <w:ind w:left="720" w:hanging="360"/>
      </w:pPr>
    </w:lvl>
    <w:lvl w:ilvl="1" w:tplc="50A64A4E">
      <w:start w:val="1"/>
      <w:numFmt w:val="bullet"/>
      <w:lvlText w:val="○"/>
      <w:lvlJc w:val="left"/>
      <w:pPr>
        <w:ind w:left="1440" w:hanging="360"/>
      </w:pPr>
    </w:lvl>
    <w:lvl w:ilvl="2" w:tplc="255CAFBC">
      <w:start w:val="1"/>
      <w:numFmt w:val="bullet"/>
      <w:lvlText w:val="■"/>
      <w:lvlJc w:val="left"/>
      <w:pPr>
        <w:ind w:left="2160" w:hanging="360"/>
      </w:pPr>
    </w:lvl>
    <w:lvl w:ilvl="3" w:tplc="4810FB8A">
      <w:start w:val="1"/>
      <w:numFmt w:val="bullet"/>
      <w:lvlText w:val="●"/>
      <w:lvlJc w:val="left"/>
      <w:pPr>
        <w:ind w:left="2880" w:hanging="360"/>
      </w:pPr>
    </w:lvl>
    <w:lvl w:ilvl="4" w:tplc="719862D0">
      <w:start w:val="1"/>
      <w:numFmt w:val="bullet"/>
      <w:lvlText w:val="○"/>
      <w:lvlJc w:val="left"/>
      <w:pPr>
        <w:ind w:left="3600" w:hanging="360"/>
      </w:pPr>
    </w:lvl>
    <w:lvl w:ilvl="5" w:tplc="1C52FAD8">
      <w:start w:val="1"/>
      <w:numFmt w:val="bullet"/>
      <w:lvlText w:val="■"/>
      <w:lvlJc w:val="left"/>
      <w:pPr>
        <w:ind w:left="4320" w:hanging="360"/>
      </w:pPr>
    </w:lvl>
    <w:lvl w:ilvl="6" w:tplc="CA641782">
      <w:start w:val="1"/>
      <w:numFmt w:val="bullet"/>
      <w:lvlText w:val="●"/>
      <w:lvlJc w:val="left"/>
      <w:pPr>
        <w:ind w:left="5040" w:hanging="360"/>
      </w:pPr>
    </w:lvl>
    <w:lvl w:ilvl="7" w:tplc="32740F66">
      <w:start w:val="1"/>
      <w:numFmt w:val="bullet"/>
      <w:lvlText w:val="●"/>
      <w:lvlJc w:val="left"/>
      <w:pPr>
        <w:ind w:left="5760" w:hanging="360"/>
      </w:pPr>
    </w:lvl>
    <w:lvl w:ilvl="8" w:tplc="23A499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83A31"/>
    <w:multiLevelType w:val="hybridMultilevel"/>
    <w:tmpl w:val="FFFFFFFF"/>
    <w:lvl w:ilvl="0" w:tplc="3098A320">
      <w:start w:val="1"/>
      <w:numFmt w:val="bullet"/>
      <w:lvlText w:val="•"/>
      <w:lvlJc w:val="left"/>
      <w:pPr>
        <w:ind w:left="540" w:hanging="270"/>
      </w:pPr>
    </w:lvl>
    <w:lvl w:ilvl="1" w:tplc="6A6C091A">
      <w:start w:val="1"/>
      <w:numFmt w:val="bullet"/>
      <w:lvlText w:val="◦"/>
      <w:lvlJc w:val="left"/>
      <w:pPr>
        <w:ind w:left="940" w:hanging="270"/>
      </w:pPr>
    </w:lvl>
    <w:lvl w:ilvl="2" w:tplc="9DB0F43C">
      <w:numFmt w:val="decimal"/>
      <w:lvlText w:val=""/>
      <w:lvlJc w:val="left"/>
    </w:lvl>
    <w:lvl w:ilvl="3" w:tplc="6284DC60">
      <w:numFmt w:val="decimal"/>
      <w:lvlText w:val=""/>
      <w:lvlJc w:val="left"/>
    </w:lvl>
    <w:lvl w:ilvl="4" w:tplc="E4320636">
      <w:numFmt w:val="decimal"/>
      <w:lvlText w:val=""/>
      <w:lvlJc w:val="left"/>
    </w:lvl>
    <w:lvl w:ilvl="5" w:tplc="C66A4C98">
      <w:numFmt w:val="decimal"/>
      <w:lvlText w:val=""/>
      <w:lvlJc w:val="left"/>
    </w:lvl>
    <w:lvl w:ilvl="6" w:tplc="E9A86C34">
      <w:numFmt w:val="decimal"/>
      <w:lvlText w:val=""/>
      <w:lvlJc w:val="left"/>
    </w:lvl>
    <w:lvl w:ilvl="7" w:tplc="693EF984">
      <w:numFmt w:val="decimal"/>
      <w:lvlText w:val=""/>
      <w:lvlJc w:val="left"/>
    </w:lvl>
    <w:lvl w:ilvl="8" w:tplc="07BE5938">
      <w:numFmt w:val="decimal"/>
      <w:lvlText w:val=""/>
      <w:lvlJc w:val="left"/>
    </w:lvl>
  </w:abstractNum>
  <w:num w:numId="1" w16cid:durableId="114368523">
    <w:abstractNumId w:val="0"/>
    <w:lvlOverride w:ilvl="0">
      <w:startOverride w:val="1"/>
    </w:lvlOverride>
  </w:num>
  <w:num w:numId="2" w16cid:durableId="1360545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1B5"/>
    <w:rsid w:val="00130481"/>
    <w:rsid w:val="0014009B"/>
    <w:rsid w:val="00144AA1"/>
    <w:rsid w:val="0016471B"/>
    <w:rsid w:val="00181F14"/>
    <w:rsid w:val="002071B6"/>
    <w:rsid w:val="002745C9"/>
    <w:rsid w:val="002C3256"/>
    <w:rsid w:val="00413452"/>
    <w:rsid w:val="004431F0"/>
    <w:rsid w:val="004B0579"/>
    <w:rsid w:val="004B75FB"/>
    <w:rsid w:val="004C1AC9"/>
    <w:rsid w:val="005F47B5"/>
    <w:rsid w:val="00643344"/>
    <w:rsid w:val="00664802"/>
    <w:rsid w:val="00676EDF"/>
    <w:rsid w:val="006B727D"/>
    <w:rsid w:val="006E7784"/>
    <w:rsid w:val="007D600C"/>
    <w:rsid w:val="00840FF2"/>
    <w:rsid w:val="008C3C04"/>
    <w:rsid w:val="008C561C"/>
    <w:rsid w:val="00945B64"/>
    <w:rsid w:val="00986B55"/>
    <w:rsid w:val="009911B5"/>
    <w:rsid w:val="009D48B6"/>
    <w:rsid w:val="00A74E0B"/>
    <w:rsid w:val="00AE2112"/>
    <w:rsid w:val="00AF7DF2"/>
    <w:rsid w:val="00B002E3"/>
    <w:rsid w:val="00BE2F30"/>
    <w:rsid w:val="00C0663C"/>
    <w:rsid w:val="00D2464B"/>
    <w:rsid w:val="00D647DA"/>
    <w:rsid w:val="00DD03EB"/>
    <w:rsid w:val="00E50ED7"/>
    <w:rsid w:val="00E853EB"/>
    <w:rsid w:val="00EA05EB"/>
    <w:rsid w:val="00EB57B8"/>
    <w:rsid w:val="00F13196"/>
    <w:rsid w:val="00F15A14"/>
    <w:rsid w:val="00F3106E"/>
    <w:rsid w:val="00F56D1E"/>
    <w:rsid w:val="00FA6891"/>
    <w:rsid w:val="00FE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43EFB3"/>
  <w15:docId w15:val="{4B32CB82-C97B-3642-A2B0-E14F8A01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F56D1E"/>
    <w:rPr>
      <w:rFonts w:ascii="Helvetica" w:eastAsiaTheme="minorEastAsia" w:hAnsi="Helvetica"/>
      <w:color w:val="000000"/>
      <w:sz w:val="29"/>
      <w:szCs w:val="29"/>
    </w:rPr>
  </w:style>
  <w:style w:type="paragraph" w:customStyle="1" w:styleId="p2">
    <w:name w:val="p2"/>
    <w:basedOn w:val="Normal"/>
    <w:rsid w:val="00F56D1E"/>
    <w:rPr>
      <w:rFonts w:ascii="Helvetica" w:eastAsiaTheme="minorEastAsia" w:hAnsi="Helvetica"/>
      <w:color w:val="000000"/>
      <w:sz w:val="29"/>
      <w:szCs w:val="29"/>
    </w:rPr>
  </w:style>
  <w:style w:type="character" w:customStyle="1" w:styleId="s1">
    <w:name w:val="s1"/>
    <w:basedOn w:val="Policepardfaut"/>
    <w:rsid w:val="00F56D1E"/>
    <w:rPr>
      <w:rFonts w:ascii="Times New Roman" w:hAnsi="Times New Roman" w:cs="Times New Roman" w:hint="default"/>
      <w:b w:val="0"/>
      <w:bCs w:val="0"/>
      <w:i w:val="0"/>
      <w:iCs w:val="0"/>
      <w:sz w:val="29"/>
      <w:szCs w:val="29"/>
    </w:rPr>
  </w:style>
  <w:style w:type="character" w:customStyle="1" w:styleId="s2">
    <w:name w:val="s2"/>
    <w:basedOn w:val="Policepardfaut"/>
    <w:rsid w:val="00F56D1E"/>
    <w:rPr>
      <w:rFonts w:ascii="Helvetica" w:hAnsi="Helvetica" w:hint="default"/>
      <w:b w:val="0"/>
      <w:bCs w:val="0"/>
      <w:i w:val="0"/>
      <w:iCs w:val="0"/>
      <w:sz w:val="29"/>
      <w:szCs w:val="29"/>
    </w:rPr>
  </w:style>
  <w:style w:type="character" w:customStyle="1" w:styleId="s3">
    <w:name w:val="s3"/>
    <w:basedOn w:val="Policepardfaut"/>
    <w:rsid w:val="00F56D1E"/>
    <w:rPr>
      <w:rFonts w:ascii="Times New Roman" w:hAnsi="Times New Roman" w:cs="Times New Roman" w:hint="default"/>
      <w:b w:val="0"/>
      <w:bCs w:val="0"/>
      <w:i w:val="0"/>
      <w:iCs w:val="0"/>
      <w:sz w:val="29"/>
      <w:szCs w:val="29"/>
    </w:rPr>
  </w:style>
  <w:style w:type="character" w:customStyle="1" w:styleId="s4">
    <w:name w:val="s4"/>
    <w:basedOn w:val="Policepardfaut"/>
    <w:rsid w:val="00F56D1E"/>
    <w:rPr>
      <w:rFonts w:ascii="Helvetica" w:hAnsi="Helvetica" w:hint="default"/>
      <w:b w:val="0"/>
      <w:bCs w:val="0"/>
      <w:i w:val="0"/>
      <w:iCs w:val="0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2287</Words>
  <Characters>12582</Characters>
  <Application>Microsoft Office Word</Application>
  <DocSecurity>0</DocSecurity>
  <Lines>104</Lines>
  <Paragraphs>29</Paragraphs>
  <ScaleCrop>false</ScaleCrop>
  <Company/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2026-04-07T15:57:00Z</dcterms:created>
  <dcterms:modified xsi:type="dcterms:W3CDTF">2026-04-07T15:57:00Z</dcterms:modified>
</cp:coreProperties>
</file>