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083DE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5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A86AD9" w14:textId="77777777" w:rsidR="00705705" w:rsidRPr="000F4062" w:rsidRDefault="000F4062">
            <w:pPr>
              <w:spacing w:before="100" w:after="40"/>
              <w:jc w:val="center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8"/>
                <w:szCs w:val="28"/>
              </w:rPr>
              <w:t>📚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8"/>
                <w:szCs w:val="28"/>
              </w:rPr>
              <w:t xml:space="preserve"> PENSE-BÊTE — QUESTIONS / RÉPONSES</w:t>
            </w:r>
          </w:p>
          <w:p w14:paraId="0117D25D" w14:textId="77777777" w:rsidR="00705705" w:rsidRPr="000F4062" w:rsidRDefault="000F4062">
            <w:pPr>
              <w:spacing w:after="40"/>
              <w:jc w:val="center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  <w:i/>
                <w:iCs/>
                <w:color w:val="D4EDEA"/>
              </w:rPr>
              <w:t xml:space="preserve">Webinaire — Pathologies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D4EDEA"/>
              </w:rPr>
              <w:t>uro-génitales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D4EDEA"/>
              </w:rPr>
              <w:t xml:space="preserve"> — Cas pratiques Karine &amp; Lana</w:t>
            </w:r>
          </w:p>
          <w:p w14:paraId="09EDF0DC" w14:textId="77777777" w:rsidR="00705705" w:rsidRPr="000F4062" w:rsidRDefault="000F4062">
            <w:pPr>
              <w:spacing w:after="100"/>
              <w:jc w:val="center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  <w:i/>
                <w:iCs/>
                <w:color w:val="BDC3C7"/>
                <w:sz w:val="19"/>
                <w:szCs w:val="19"/>
              </w:rPr>
              <w:t>Échanges MP × Pascale (École de Santé Naturelle)</w:t>
            </w:r>
          </w:p>
        </w:tc>
      </w:tr>
    </w:tbl>
    <w:p w14:paraId="4AFF33BB" w14:textId="77777777" w:rsidR="00705705" w:rsidRPr="000F4062" w:rsidRDefault="00705705">
      <w:pPr>
        <w:spacing w:before="40"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6549D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707BCA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🌸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1 — INFERTILITÉ &amp; FAUSSES COUCHES À RÉPÉTITION</w:t>
            </w:r>
          </w:p>
        </w:tc>
      </w:tr>
    </w:tbl>
    <w:p w14:paraId="5CD7E29A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31140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1D0349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Nathalie B.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Parle-t-on d'infertilité dans ce cas, car elle est enceinte mais ne garde pas son fœtus ?</w:t>
            </w:r>
          </w:p>
        </w:tc>
      </w:tr>
      <w:tr w:rsidR="00705705" w:rsidRPr="000F4062" w14:paraId="7A9B9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D53D40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Non, les fausses couches à répétition ne sont pas synonymes d'infertilité. L'infertilité se caractérise par l'incapacité de concevoir après un an ou plus d'essais. Dans le cas des fausses couches à répétition, il est possible de concevoir, mais on subit alors une fausse couche.</w:t>
            </w:r>
          </w:p>
        </w:tc>
      </w:tr>
    </w:tbl>
    <w:p w14:paraId="3F170EA8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1C8EF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9A17C6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Virginie G.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À force de faire des fausses couches, n'y a-t-il pas un risque d'infertilité ?</w:t>
            </w:r>
          </w:p>
        </w:tc>
      </w:tr>
      <w:tr w:rsidR="00705705" w:rsidRPr="000F4062" w14:paraId="5945B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D2BA66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La réponse est complexe et dépend de divers facteurs. Bien qu'il existe des risques d'infertilité liés à des fausses couches successives, il est important de noter que les chances de tomber enceinte à nouveau sont généralement très élevées.</w:t>
            </w:r>
          </w:p>
        </w:tc>
      </w:tr>
    </w:tbl>
    <w:p w14:paraId="626A64AA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16ACF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A4ADD1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Annick D.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Karine est en hypothyroïdie malgré son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Levothyrox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: cela empêche-t-il la maturation des follicules ovariens, donc un déficit en progestérone, pouvant expliquer les fausses couches ?</w:t>
            </w:r>
          </w:p>
        </w:tc>
      </w:tr>
      <w:tr w:rsidR="00705705" w:rsidRPr="000F4062" w14:paraId="1B2D0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D36DEF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L'hypothyroïdie peut avoir des effets néfastes sur la grossesse et le développement du fœtus, notamment une augmentation de l'incidence des fausses couches et des accouchements prématurés.</w:t>
            </w:r>
          </w:p>
        </w:tc>
      </w:tr>
    </w:tbl>
    <w:p w14:paraId="29F5853C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204B0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052AE2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Annick D.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La résistance à l'insuline peut-elle être une cause d'infertilité ? (insuline en excès → stimule œstrogènes → nuit à la qualité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ovocytaire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>)</w:t>
            </w:r>
          </w:p>
        </w:tc>
      </w:tr>
      <w:tr w:rsidR="00705705" w:rsidRPr="000F4062" w14:paraId="5A50C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BF3492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La résistance à l'insuline est une cause de plus en plus fréquente d'infertilité, car elle produit des changements physiques dans les processus d'ovulation et affecte la capacité à obtenir une grossesse. C'est une cause fréquente et croissante : elle touche environ 40 % des femmes.</w:t>
            </w:r>
          </w:p>
        </w:tc>
      </w:tr>
    </w:tbl>
    <w:p w14:paraId="679D4DD7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1D75F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8C01F1A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🦋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2 — THYROÏDE &amp; AUTO-IMMUNITÉ</w:t>
            </w:r>
          </w:p>
        </w:tc>
      </w:tr>
    </w:tbl>
    <w:p w14:paraId="513D1378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17C6E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4" w:space="0" w:color="D35400"/>
              <w:bottom w:val="none" w:sz="0" w:space="0" w:color="FFFFFF"/>
              <w:right w:val="single" w:sz="1" w:space="0" w:color="1A5276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20C8DF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Sophie M.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Pouvez-vous expliquer ce que sont les Ac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anti-thyroglobuline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et les Ac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anti-thyroperoxydase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?</w:t>
            </w:r>
          </w:p>
        </w:tc>
      </w:tr>
      <w:tr w:rsidR="00705705" w:rsidRPr="000F4062" w14:paraId="7C00A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201CE0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La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thyroglobuline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synthétisée dans la thyroïde pour produire T4 et T3. La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thyroperoxydase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l'enzyme qui intervient dans cette synthèse. En cas d'auto-immunité, le système immunitaire sécrète des anticorps contre ces éléments, ce qui entraîne un déficit en hormones thyroïdiennes.</w:t>
            </w:r>
          </w:p>
        </w:tc>
      </w:tr>
    </w:tbl>
    <w:p w14:paraId="3F8A7593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08421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4" w:space="0" w:color="D35400"/>
              <w:bottom w:val="none" w:sz="0" w:space="0" w:color="FFFFFF"/>
              <w:right w:val="single" w:sz="1" w:space="0" w:color="1A5276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CD4E50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Virginie G. :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L'hypo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>- ou l'hyperthyroïdie peut-elle avoir une importance sur le poids (perte ou prise) — avec ou sans traitement ?</w:t>
            </w:r>
          </w:p>
        </w:tc>
      </w:tr>
      <w:tr w:rsidR="00705705" w:rsidRPr="000F4062" w14:paraId="73BF4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B66EA3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(Réponse implicite via le cours à venir) — La fatigue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surrénalienne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très souvent en lien avec des troubles de la thyroïde : l'axe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corticotrope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et l'axe thyréotrope sont interconnectés. Un cours dédié aux pathologies de la thyroïde est prévu prochainement.</w:t>
            </w:r>
          </w:p>
        </w:tc>
      </w:tr>
    </w:tbl>
    <w:p w14:paraId="0B28AD2A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235D3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4" w:space="0" w:color="D35400"/>
              <w:bottom w:val="none" w:sz="0" w:space="0" w:color="FFFFFF"/>
              <w:right w:val="single" w:sz="1" w:space="0" w:color="1A5276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87EB5E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Isabelle F.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Quel est le lien entre gluten et auto-immunité ?</w:t>
            </w:r>
          </w:p>
        </w:tc>
      </w:tr>
      <w:tr w:rsidR="00705705" w:rsidRPr="000F4062" w14:paraId="736D6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171AD6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lastRenderedPageBreak/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Le gluten est 100 % inflammatoire, ce qui stimule le système immunitaire et peut induire la production d'anticorps (auto-immunité).</w:t>
            </w:r>
          </w:p>
        </w:tc>
      </w:tr>
    </w:tbl>
    <w:p w14:paraId="47247DDC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564B6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4" w:space="0" w:color="D35400"/>
              <w:bottom w:val="none" w:sz="0" w:space="0" w:color="FFFFFF"/>
              <w:right w:val="single" w:sz="1" w:space="0" w:color="1A5276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FD379D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Franck O.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L'endométriose est-elle une maladie auto-immune ?</w:t>
            </w:r>
          </w:p>
        </w:tc>
      </w:tr>
      <w:tr w:rsidR="00705705" w:rsidRPr="000F4062" w14:paraId="0A3B9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F94793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Bien que l'endométriose ne soit pas officiellement reconnue comme une maladie auto-immune, il est largement admis que le fait d'en souffrir augmente le risque pour une femme de développer des maladies auto-immunes, telles que la maladie cœliaque.</w:t>
            </w:r>
          </w:p>
        </w:tc>
      </w:tr>
    </w:tbl>
    <w:p w14:paraId="2A326767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5333A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B59576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⚡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3 — SURRÉNALES,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>CORTISOL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&amp; FATIGUE</w:t>
            </w:r>
          </w:p>
        </w:tc>
      </w:tr>
    </w:tbl>
    <w:p w14:paraId="00C5CDA3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0F394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5400"/>
              <w:left w:val="single" w:sz="4" w:space="0" w:color="D35400"/>
              <w:bottom w:val="none" w:sz="0" w:space="0" w:color="FFFFFF"/>
              <w:right w:val="single" w:sz="1" w:space="0" w:color="D35400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6E8D8D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Sophie M.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À partir de quel taux parle-t-on d'épuisement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surrénalien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?</w:t>
            </w:r>
          </w:p>
        </w:tc>
      </w:tr>
      <w:tr w:rsidR="00705705" w:rsidRPr="000F4062" w14:paraId="5FB88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D35400"/>
              <w:right w:val="single" w:sz="1" w:space="0" w:color="D35400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A2EF06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Un taux de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cortisol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basal inférieur à 3 µg/dL (83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nmol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/L) est considéré comme signe d'épuisement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surrénalien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>.</w:t>
            </w:r>
          </w:p>
        </w:tc>
      </w:tr>
    </w:tbl>
    <w:p w14:paraId="4662FEB2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3273F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35400"/>
              <w:left w:val="single" w:sz="4" w:space="0" w:color="D35400"/>
              <w:bottom w:val="none" w:sz="0" w:space="0" w:color="FFFFFF"/>
              <w:right w:val="single" w:sz="1" w:space="0" w:color="D35400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D1D20C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Sophie M.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La fatigue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surrénalienne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est-elle liée aux troubles thyroïdiens ?</w:t>
            </w:r>
          </w:p>
        </w:tc>
      </w:tr>
      <w:tr w:rsidR="00705705" w:rsidRPr="000F4062" w14:paraId="266D3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D35400"/>
              <w:right w:val="single" w:sz="1" w:space="0" w:color="D35400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22F712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La fatigue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surrénalienne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très souvent en lien avec des troubles de la thyroïde. L'axe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corticotrope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et l'axe thyréotrope sont interconnectés.</w:t>
            </w:r>
          </w:p>
        </w:tc>
      </w:tr>
    </w:tbl>
    <w:p w14:paraId="46026C52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037D5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1A0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025B81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🩸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4 — FER,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>FERRITINE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&amp;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>COMPLÉMENTATION</w:t>
            </w:r>
            <w:proofErr w:type="spellEnd"/>
          </w:p>
        </w:tc>
      </w:tr>
    </w:tbl>
    <w:p w14:paraId="7B49BF4B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4CCFE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4" w:space="0" w:color="D35400"/>
              <w:bottom w:val="none" w:sz="0" w:space="0" w:color="FFFFFF"/>
              <w:right w:val="single" w:sz="1" w:space="0" w:color="C0392B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3CA697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Tiphaine L.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Le fer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liposomal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est-il efficace pour élever la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ferritine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 ?</w:t>
            </w:r>
          </w:p>
        </w:tc>
      </w:tr>
      <w:tr w:rsidR="00705705" w:rsidRPr="000F4062" w14:paraId="07375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413912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Oui, le fer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liposomal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efficace pour remonter la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ferritine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>.</w:t>
            </w:r>
          </w:p>
        </w:tc>
      </w:tr>
    </w:tbl>
    <w:p w14:paraId="7012DE0B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27E6F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4" w:space="0" w:color="D35400"/>
              <w:bottom w:val="none" w:sz="0" w:space="0" w:color="FFFFFF"/>
              <w:right w:val="single" w:sz="1" w:space="0" w:color="C0392B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DD392B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Tiphaine L.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 xml:space="preserve">La </w:t>
            </w:r>
            <w:proofErr w:type="spellStart"/>
            <w:r w:rsidRPr="000F4062">
              <w:rPr>
                <w:rFonts w:ascii="Book Antiqua" w:hAnsi="Book Antiqua"/>
                <w:i/>
                <w:iCs/>
                <w:color w:val="1C2833"/>
              </w:rPr>
              <w:t>ferritine</w:t>
            </w:r>
            <w:proofErr w:type="spellEnd"/>
            <w:r w:rsidRPr="000F4062">
              <w:rPr>
                <w:rFonts w:ascii="Book Antiqua" w:hAnsi="Book Antiqua"/>
                <w:i/>
                <w:iCs/>
                <w:color w:val="1C2833"/>
              </w:rPr>
              <w:t>, c'est du fer végétal ?</w:t>
            </w:r>
          </w:p>
        </w:tc>
      </w:tr>
      <w:tr w:rsidR="00705705" w:rsidRPr="000F4062" w14:paraId="2E9F6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09D78F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 xml:space="preserve">Non. La </w:t>
            </w:r>
            <w:proofErr w:type="spellStart"/>
            <w:r w:rsidRPr="000F4062">
              <w:rPr>
                <w:rFonts w:ascii="Book Antiqua" w:hAnsi="Book Antiqua"/>
                <w:color w:val="1C2833"/>
              </w:rPr>
              <w:t>ferritine</w:t>
            </w:r>
            <w:proofErr w:type="spellEnd"/>
            <w:r w:rsidRPr="000F4062">
              <w:rPr>
                <w:rFonts w:ascii="Book Antiqua" w:hAnsi="Book Antiqua"/>
                <w:color w:val="1C2833"/>
              </w:rPr>
              <w:t xml:space="preserve"> est une protéine dotée d'une fonction de stockage et de régulation du métabolisme du fer présent dans l'organisme. Ce n'est pas une forme de fer alimentaire.</w:t>
            </w:r>
          </w:p>
        </w:tc>
      </w:tr>
    </w:tbl>
    <w:p w14:paraId="343EA9D0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61A78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05695A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🫁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5 —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>MICROBIOTE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>, DIGESTION &amp; TRANSIT</w:t>
            </w:r>
          </w:p>
        </w:tc>
      </w:tr>
    </w:tbl>
    <w:p w14:paraId="72A25846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7123D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2164C6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D35400"/>
              </w:rPr>
              <w:t>Rabha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M.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Idéalement, combien de selles par jour est-ce normal ?</w:t>
            </w:r>
          </w:p>
        </w:tc>
      </w:tr>
      <w:tr w:rsidR="00705705" w:rsidRPr="000F4062" w14:paraId="5E2E9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ED71AC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Dans l'idéal, c'est un repas = une selle. Soit environ 1 à 3 selles par jour selon les personnes. L'important est la régularité et la consistance (Bristol 4 idéal).</w:t>
            </w:r>
          </w:p>
        </w:tc>
      </w:tr>
    </w:tbl>
    <w:p w14:paraId="3CDC3BEF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17984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4" w:space="0" w:color="D35400"/>
              <w:bottom w:val="none" w:sz="0" w:space="0" w:color="FFFFFF"/>
              <w:right w:val="single" w:sz="1" w:space="0" w:color="4A9B8A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F40608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D35400"/>
              </w:rPr>
              <w:t>Vanina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G.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Faut-il faire une analyse avant de complémenter en zinc ?</w:t>
            </w:r>
          </w:p>
        </w:tc>
      </w:tr>
      <w:tr w:rsidR="00705705" w:rsidRPr="000F4062" w14:paraId="51027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34D5FF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Oui, c'est conseillé de doser le zinc avant de complémenter.</w:t>
            </w:r>
          </w:p>
        </w:tc>
      </w:tr>
    </w:tbl>
    <w:p w14:paraId="66943DCF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7D990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1415E6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🧠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THÈME 6 — NEUROTRANSMETTEURS</w:t>
            </w:r>
          </w:p>
        </w:tc>
      </w:tr>
    </w:tbl>
    <w:p w14:paraId="71D6C47F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60668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4" w:space="0" w:color="D35400"/>
              <w:bottom w:val="none" w:sz="0" w:space="0" w:color="FFFFFF"/>
              <w:right w:val="single" w:sz="1" w:space="0" w:color="1A5276"/>
            </w:tcBorders>
            <w:shd w:val="clear" w:color="auto" w:fill="FAD7A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3D294E" w14:textId="77777777" w:rsidR="00705705" w:rsidRPr="000F4062" w:rsidRDefault="000F4062">
            <w:pPr>
              <w:spacing w:before="60" w:after="4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D35400"/>
              </w:rPr>
              <w:lastRenderedPageBreak/>
              <w:t>❓</w:t>
            </w:r>
            <w:r w:rsidRPr="000F4062">
              <w:rPr>
                <w:rFonts w:ascii="Book Antiqua" w:hAnsi="Book Antiqua"/>
                <w:b/>
                <w:bCs/>
                <w:color w:val="D35400"/>
              </w:rPr>
              <w:t xml:space="preserve"> Deborah B. : </w:t>
            </w:r>
            <w:r w:rsidRPr="000F4062">
              <w:rPr>
                <w:rFonts w:ascii="Book Antiqua" w:hAnsi="Book Antiqua"/>
                <w:i/>
                <w:iCs/>
                <w:color w:val="1C2833"/>
              </w:rPr>
              <w:t>Comment vérifier qu'il y a bien un déficit en neurotransmetteurs ?</w:t>
            </w:r>
          </w:p>
        </w:tc>
      </w:tr>
      <w:tr w:rsidR="00705705" w:rsidRPr="000F4062" w14:paraId="59C73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2E6B5E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83F7D3" w14:textId="77777777" w:rsidR="00705705" w:rsidRPr="000F4062" w:rsidRDefault="000F4062">
            <w:pPr>
              <w:spacing w:before="60" w:after="60"/>
              <w:jc w:val="both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2E6B5E"/>
              </w:rPr>
              <w:t>✅</w:t>
            </w:r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Pascale : </w:t>
            </w:r>
            <w:r w:rsidRPr="000F4062">
              <w:rPr>
                <w:rFonts w:ascii="Book Antiqua" w:hAnsi="Book Antiqua"/>
                <w:color w:val="1C2833"/>
              </w:rPr>
              <w:t>On peut faire un dosage urinaire des neurotransmetteurs.</w:t>
            </w:r>
          </w:p>
        </w:tc>
      </w:tr>
    </w:tbl>
    <w:p w14:paraId="4AB03334" w14:textId="77777777" w:rsidR="00705705" w:rsidRPr="000F4062" w:rsidRDefault="00705705">
      <w:pPr>
        <w:spacing w:before="30" w:after="3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48D73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A92AAE" w14:textId="77777777" w:rsidR="00705705" w:rsidRPr="000F4062" w:rsidRDefault="000F4062">
            <w:pPr>
              <w:spacing w:before="60" w:after="60"/>
              <w:rPr>
                <w:rFonts w:ascii="Book Antiqua" w:hAnsi="Book Antiqua"/>
              </w:rPr>
            </w:pPr>
            <w:r w:rsidRPr="000F4062">
              <w:rPr>
                <w:rFonts w:ascii="Apple Color Emoji" w:hAnsi="Apple Color Emoji" w:cs="Apple Color Emoji"/>
                <w:b/>
                <w:bCs/>
                <w:color w:val="FFFFFF"/>
                <w:sz w:val="23"/>
                <w:szCs w:val="23"/>
              </w:rPr>
              <w:t>📌</w:t>
            </w:r>
            <w:r w:rsidRPr="000F4062">
              <w:rPr>
                <w:rFonts w:ascii="Book Antiqua" w:hAnsi="Book Antiqua"/>
                <w:b/>
                <w:bCs/>
                <w:color w:val="FFFFFF"/>
                <w:sz w:val="23"/>
                <w:szCs w:val="23"/>
              </w:rPr>
              <w:t xml:space="preserve"> SYNTHÈSE — POINTS CLÉS À RETENIR</w:t>
            </w:r>
          </w:p>
        </w:tc>
      </w:tr>
    </w:tbl>
    <w:p w14:paraId="039C273C" w14:textId="77777777" w:rsidR="00705705" w:rsidRPr="000F4062" w:rsidRDefault="00705705">
      <w:pPr>
        <w:spacing w:before="15" w:after="15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705705" w:rsidRPr="000F4062" w14:paraId="64323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A9B8A"/>
              <w:left w:val="single" w:sz="1" w:space="0" w:color="4A9B8A"/>
              <w:bottom w:val="single" w:sz="1" w:space="0" w:color="4A9B8A"/>
              <w:right w:val="single" w:sz="1" w:space="0" w:color="4A9B8A"/>
            </w:tcBorders>
            <w:shd w:val="clear" w:color="auto" w:fill="D4ED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9CB6B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  <w:b/>
                <w:bCs/>
                <w:color w:val="2E6B5E"/>
              </w:rPr>
              <w:t>Fausses couches ≠ Infertilité</w:t>
            </w:r>
          </w:p>
          <w:p w14:paraId="5F1D7833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FC à répétition = on conçoit, mais on ne maintient pas la grossesse</w:t>
            </w:r>
          </w:p>
          <w:p w14:paraId="08991C70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Infertilité = incapacité à concevoir après 12 mois d'essais</w:t>
            </w:r>
          </w:p>
          <w:p w14:paraId="74E4BB58" w14:textId="77777777" w:rsidR="00705705" w:rsidRPr="000F4062" w:rsidRDefault="00705705">
            <w:pPr>
              <w:spacing w:before="30"/>
              <w:rPr>
                <w:rFonts w:ascii="Book Antiqua" w:hAnsi="Book Antiqua"/>
              </w:rPr>
            </w:pPr>
          </w:p>
          <w:p w14:paraId="05F403D3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  <w:b/>
                <w:bCs/>
                <w:color w:val="1A5276"/>
              </w:rPr>
              <w:t>Thyroïde &amp; Auto-immunité</w:t>
            </w:r>
          </w:p>
          <w:p w14:paraId="7D437BDB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Ac anti-TPO + Ac anti-TG = anticorps dirigés contre la synthèse des hormones thyroïdiennes</w:t>
            </w:r>
          </w:p>
          <w:p w14:paraId="20F38855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Gluten → 100% inflammatoire → stimule le SI → peut déclencher auto-immunité</w:t>
            </w:r>
          </w:p>
          <w:p w14:paraId="39C1DD73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Endométriose ≠ maladie auto-immune officielle, mais augmente le risque d'auto-immunité (ex. maladie cœliaque)</w:t>
            </w:r>
          </w:p>
          <w:p w14:paraId="5D5963EF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 xml:space="preserve">Axe </w:t>
            </w:r>
            <w:proofErr w:type="spellStart"/>
            <w:r w:rsidRPr="000F4062">
              <w:rPr>
                <w:rFonts w:ascii="Book Antiqua" w:hAnsi="Book Antiqua"/>
              </w:rPr>
              <w:t>corticotrope</w:t>
            </w:r>
            <w:proofErr w:type="spellEnd"/>
            <w:r w:rsidRPr="000F4062">
              <w:rPr>
                <w:rFonts w:ascii="Book Antiqua" w:hAnsi="Book Antiqua"/>
              </w:rPr>
              <w:t xml:space="preserve"> ↔ axe thyréotrope = interconnectés</w:t>
            </w:r>
          </w:p>
          <w:p w14:paraId="495BBBE3" w14:textId="77777777" w:rsidR="00705705" w:rsidRPr="000F4062" w:rsidRDefault="00705705">
            <w:pPr>
              <w:spacing w:before="30"/>
              <w:rPr>
                <w:rFonts w:ascii="Book Antiqua" w:hAnsi="Book Antiqua"/>
              </w:rPr>
            </w:pPr>
          </w:p>
          <w:p w14:paraId="5F43DB2A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  <w:b/>
                <w:bCs/>
                <w:color w:val="D35400"/>
              </w:rPr>
              <w:t>Surrénales</w:t>
            </w:r>
          </w:p>
          <w:p w14:paraId="493BC315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 xml:space="preserve">Épuisement </w:t>
            </w:r>
            <w:proofErr w:type="spellStart"/>
            <w:r w:rsidRPr="000F4062">
              <w:rPr>
                <w:rFonts w:ascii="Book Antiqua" w:hAnsi="Book Antiqua"/>
              </w:rPr>
              <w:t>surrénalien</w:t>
            </w:r>
            <w:proofErr w:type="spellEnd"/>
            <w:r w:rsidRPr="000F4062">
              <w:rPr>
                <w:rFonts w:ascii="Book Antiqua" w:hAnsi="Book Antiqua"/>
              </w:rPr>
              <w:t xml:space="preserve"> = </w:t>
            </w:r>
            <w:proofErr w:type="spellStart"/>
            <w:r w:rsidRPr="000F4062">
              <w:rPr>
                <w:rFonts w:ascii="Book Antiqua" w:hAnsi="Book Antiqua"/>
              </w:rPr>
              <w:t>cortisol</w:t>
            </w:r>
            <w:proofErr w:type="spellEnd"/>
            <w:r w:rsidRPr="000F4062">
              <w:rPr>
                <w:rFonts w:ascii="Book Antiqua" w:hAnsi="Book Antiqua"/>
              </w:rPr>
              <w:t xml:space="preserve"> basal &lt; 3 µg/dL (&lt; 83 </w:t>
            </w:r>
            <w:proofErr w:type="spellStart"/>
            <w:r w:rsidRPr="000F4062">
              <w:rPr>
                <w:rFonts w:ascii="Book Antiqua" w:hAnsi="Book Antiqua"/>
              </w:rPr>
              <w:t>nmol</w:t>
            </w:r>
            <w:proofErr w:type="spellEnd"/>
            <w:r w:rsidRPr="000F4062">
              <w:rPr>
                <w:rFonts w:ascii="Book Antiqua" w:hAnsi="Book Antiqua"/>
              </w:rPr>
              <w:t>/L)</w:t>
            </w:r>
          </w:p>
          <w:p w14:paraId="14B7DAE4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 xml:space="preserve">Fatigue </w:t>
            </w:r>
            <w:proofErr w:type="spellStart"/>
            <w:r w:rsidRPr="000F4062">
              <w:rPr>
                <w:rFonts w:ascii="Book Antiqua" w:hAnsi="Book Antiqua"/>
              </w:rPr>
              <w:t>surrénalienne</w:t>
            </w:r>
            <w:proofErr w:type="spellEnd"/>
            <w:r w:rsidRPr="000F4062">
              <w:rPr>
                <w:rFonts w:ascii="Book Antiqua" w:hAnsi="Book Antiqua"/>
              </w:rPr>
              <w:t xml:space="preserve"> souvent liée à un dysfonctionnement thyroïdien</w:t>
            </w:r>
          </w:p>
          <w:p w14:paraId="6C5523A2" w14:textId="77777777" w:rsidR="00705705" w:rsidRPr="000F4062" w:rsidRDefault="00705705">
            <w:pPr>
              <w:spacing w:before="30"/>
              <w:rPr>
                <w:rFonts w:ascii="Book Antiqua" w:hAnsi="Book Antiqua"/>
              </w:rPr>
            </w:pPr>
          </w:p>
          <w:p w14:paraId="1944F0A5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proofErr w:type="spellStart"/>
            <w:r w:rsidRPr="000F4062">
              <w:rPr>
                <w:rFonts w:ascii="Book Antiqua" w:hAnsi="Book Antiqua"/>
                <w:b/>
                <w:bCs/>
                <w:color w:val="C0392B"/>
              </w:rPr>
              <w:t>Insulino-résistance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C0392B"/>
              </w:rPr>
              <w:t xml:space="preserve"> &amp; Fertilité</w:t>
            </w:r>
          </w:p>
          <w:p w14:paraId="04D0A7E9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0F4062">
              <w:rPr>
                <w:rFonts w:ascii="Book Antiqua" w:hAnsi="Book Antiqua"/>
              </w:rPr>
              <w:t>Insulino-résistance</w:t>
            </w:r>
            <w:proofErr w:type="spellEnd"/>
            <w:r w:rsidRPr="000F4062">
              <w:rPr>
                <w:rFonts w:ascii="Book Antiqua" w:hAnsi="Book Antiqua"/>
              </w:rPr>
              <w:t xml:space="preserve"> = cause fréquente d'infertilité (~40% des femmes)</w:t>
            </w:r>
          </w:p>
          <w:p w14:paraId="53C65170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 xml:space="preserve">Insuline en excès → modifie l'ovulation → impacte la qualité </w:t>
            </w:r>
            <w:proofErr w:type="spellStart"/>
            <w:r w:rsidRPr="000F4062">
              <w:rPr>
                <w:rFonts w:ascii="Book Antiqua" w:hAnsi="Book Antiqua"/>
              </w:rPr>
              <w:t>ovocytaire</w:t>
            </w:r>
            <w:proofErr w:type="spellEnd"/>
          </w:p>
          <w:p w14:paraId="7A2F0D93" w14:textId="77777777" w:rsidR="00705705" w:rsidRPr="000F4062" w:rsidRDefault="00705705">
            <w:pPr>
              <w:spacing w:before="30"/>
              <w:rPr>
                <w:rFonts w:ascii="Book Antiqua" w:hAnsi="Book Antiqua"/>
              </w:rPr>
            </w:pPr>
          </w:p>
          <w:p w14:paraId="7A28C313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proofErr w:type="spellStart"/>
            <w:r w:rsidRPr="000F4062">
              <w:rPr>
                <w:rFonts w:ascii="Book Antiqua" w:hAnsi="Book Antiqua"/>
                <w:b/>
                <w:bCs/>
                <w:color w:val="C0392B"/>
              </w:rPr>
              <w:t>Ferritine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C0392B"/>
              </w:rPr>
              <w:t xml:space="preserve"> &amp; Fer</w:t>
            </w:r>
          </w:p>
          <w:p w14:paraId="08D0A7B7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proofErr w:type="spellStart"/>
            <w:r w:rsidRPr="000F4062">
              <w:rPr>
                <w:rFonts w:ascii="Book Antiqua" w:hAnsi="Book Antiqua"/>
              </w:rPr>
              <w:t>Ferritine</w:t>
            </w:r>
            <w:proofErr w:type="spellEnd"/>
            <w:r w:rsidRPr="000F4062">
              <w:rPr>
                <w:rFonts w:ascii="Book Antiqua" w:hAnsi="Book Antiqua"/>
              </w:rPr>
              <w:t xml:space="preserve"> = protéine de stockage du fer (pas du fer alimentaire direct)</w:t>
            </w:r>
          </w:p>
          <w:p w14:paraId="47BEDC0A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 xml:space="preserve">Fer </w:t>
            </w:r>
            <w:proofErr w:type="spellStart"/>
            <w:r w:rsidRPr="000F4062">
              <w:rPr>
                <w:rFonts w:ascii="Book Antiqua" w:hAnsi="Book Antiqua"/>
              </w:rPr>
              <w:t>liposomal</w:t>
            </w:r>
            <w:proofErr w:type="spellEnd"/>
            <w:r w:rsidRPr="000F4062">
              <w:rPr>
                <w:rFonts w:ascii="Book Antiqua" w:hAnsi="Book Antiqua"/>
              </w:rPr>
              <w:t xml:space="preserve"> = forme efficace pour remonter la </w:t>
            </w:r>
            <w:proofErr w:type="spellStart"/>
            <w:r w:rsidRPr="000F4062">
              <w:rPr>
                <w:rFonts w:ascii="Book Antiqua" w:hAnsi="Book Antiqua"/>
              </w:rPr>
              <w:t>ferritine</w:t>
            </w:r>
            <w:proofErr w:type="spellEnd"/>
          </w:p>
          <w:p w14:paraId="000C4D32" w14:textId="77777777" w:rsidR="00705705" w:rsidRPr="000F4062" w:rsidRDefault="00705705">
            <w:pPr>
              <w:spacing w:before="30"/>
              <w:rPr>
                <w:rFonts w:ascii="Book Antiqua" w:hAnsi="Book Antiqua"/>
              </w:rPr>
            </w:pPr>
          </w:p>
          <w:p w14:paraId="72FA174E" w14:textId="77777777" w:rsidR="00705705" w:rsidRPr="000F4062" w:rsidRDefault="000F4062">
            <w:pPr>
              <w:spacing w:before="40" w:after="20"/>
              <w:rPr>
                <w:rFonts w:ascii="Book Antiqua" w:hAnsi="Book Antiqua"/>
              </w:rPr>
            </w:pPr>
            <w:proofErr w:type="spellStart"/>
            <w:r w:rsidRPr="000F4062">
              <w:rPr>
                <w:rFonts w:ascii="Book Antiqua" w:hAnsi="Book Antiqua"/>
                <w:b/>
                <w:bCs/>
                <w:color w:val="2E6B5E"/>
              </w:rPr>
              <w:t>Microbiote</w:t>
            </w:r>
            <w:proofErr w:type="spellEnd"/>
            <w:r w:rsidRPr="000F4062">
              <w:rPr>
                <w:rFonts w:ascii="Book Antiqua" w:hAnsi="Book Antiqua"/>
                <w:b/>
                <w:bCs/>
                <w:color w:val="2E6B5E"/>
              </w:rPr>
              <w:t xml:space="preserve"> &amp; </w:t>
            </w:r>
            <w:proofErr w:type="spellStart"/>
            <w:r w:rsidRPr="000F4062">
              <w:rPr>
                <w:rFonts w:ascii="Book Antiqua" w:hAnsi="Book Antiqua"/>
                <w:b/>
                <w:bCs/>
                <w:color w:val="2E6B5E"/>
              </w:rPr>
              <w:t>Complémentation</w:t>
            </w:r>
            <w:proofErr w:type="spellEnd"/>
          </w:p>
          <w:p w14:paraId="7F5D089D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Idéal : 1 repas = 1 selle (régularité + qualité &gt; quantité)</w:t>
            </w:r>
          </w:p>
          <w:p w14:paraId="2F20717D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Zinc : doser AVANT de complémenter</w:t>
            </w:r>
          </w:p>
          <w:p w14:paraId="0AAE8508" w14:textId="77777777" w:rsidR="00705705" w:rsidRPr="000F4062" w:rsidRDefault="000F4062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0F4062">
              <w:rPr>
                <w:rFonts w:ascii="Book Antiqua" w:hAnsi="Book Antiqua"/>
              </w:rPr>
              <w:t>Neurotransmetteurs (dopamine, GABA, sérotonine) : vérification par dosage urinaire</w:t>
            </w:r>
          </w:p>
        </w:tc>
      </w:tr>
    </w:tbl>
    <w:p w14:paraId="7535DFC3" w14:textId="77777777" w:rsidR="00705705" w:rsidRPr="000F4062" w:rsidRDefault="00705705">
      <w:pPr>
        <w:spacing w:before="20" w:after="20"/>
        <w:rPr>
          <w:rFonts w:ascii="Book Antiqua" w:hAnsi="Book Antiqua"/>
        </w:rPr>
      </w:pPr>
    </w:p>
    <w:p w14:paraId="2ED637C6" w14:textId="77777777" w:rsidR="00705705" w:rsidRPr="000F4062" w:rsidRDefault="000F4062">
      <w:pPr>
        <w:spacing w:before="40" w:after="40"/>
        <w:jc w:val="center"/>
        <w:rPr>
          <w:rFonts w:ascii="Book Antiqua" w:hAnsi="Book Antiqua"/>
        </w:rPr>
      </w:pPr>
      <w:r w:rsidRPr="000F4062">
        <w:rPr>
          <w:rFonts w:ascii="Apple Color Emoji" w:hAnsi="Apple Color Emoji" w:cs="Apple Color Emoji"/>
          <w:i/>
          <w:iCs/>
          <w:color w:val="717D7E"/>
          <w:sz w:val="17"/>
          <w:szCs w:val="17"/>
        </w:rPr>
        <w:t>📚</w:t>
      </w:r>
      <w:r w:rsidRPr="000F4062">
        <w:rPr>
          <w:rFonts w:ascii="Book Antiqua" w:hAnsi="Book Antiqua"/>
          <w:i/>
          <w:iCs/>
          <w:color w:val="717D7E"/>
          <w:sz w:val="17"/>
          <w:szCs w:val="17"/>
        </w:rPr>
        <w:t xml:space="preserve"> École de Santé Naturelle — Webinaire pathologies </w:t>
      </w:r>
      <w:proofErr w:type="spellStart"/>
      <w:r w:rsidRPr="000F4062">
        <w:rPr>
          <w:rFonts w:ascii="Book Antiqua" w:hAnsi="Book Antiqua"/>
          <w:i/>
          <w:iCs/>
          <w:color w:val="717D7E"/>
          <w:sz w:val="17"/>
          <w:szCs w:val="17"/>
        </w:rPr>
        <w:t>uro-génitales</w:t>
      </w:r>
      <w:proofErr w:type="spellEnd"/>
      <w:r w:rsidRPr="000F4062">
        <w:rPr>
          <w:rFonts w:ascii="Book Antiqua" w:hAnsi="Book Antiqua"/>
          <w:i/>
          <w:iCs/>
          <w:color w:val="717D7E"/>
          <w:sz w:val="17"/>
          <w:szCs w:val="17"/>
        </w:rPr>
        <w:t xml:space="preserve"> — Échanges avec Pascale</w:t>
      </w:r>
    </w:p>
    <w:sectPr w:rsidR="00705705" w:rsidRPr="000F4062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13E"/>
    <w:multiLevelType w:val="hybridMultilevel"/>
    <w:tmpl w:val="FFFFFFFF"/>
    <w:lvl w:ilvl="0" w:tplc="E674937A">
      <w:start w:val="1"/>
      <w:numFmt w:val="bullet"/>
      <w:lvlText w:val="●"/>
      <w:lvlJc w:val="left"/>
      <w:pPr>
        <w:ind w:left="720" w:hanging="360"/>
      </w:pPr>
    </w:lvl>
    <w:lvl w:ilvl="1" w:tplc="146A6B26">
      <w:start w:val="1"/>
      <w:numFmt w:val="bullet"/>
      <w:lvlText w:val="○"/>
      <w:lvlJc w:val="left"/>
      <w:pPr>
        <w:ind w:left="1440" w:hanging="360"/>
      </w:pPr>
    </w:lvl>
    <w:lvl w:ilvl="2" w:tplc="E76CBDF6">
      <w:start w:val="1"/>
      <w:numFmt w:val="bullet"/>
      <w:lvlText w:val="■"/>
      <w:lvlJc w:val="left"/>
      <w:pPr>
        <w:ind w:left="2160" w:hanging="360"/>
      </w:pPr>
    </w:lvl>
    <w:lvl w:ilvl="3" w:tplc="20861692">
      <w:start w:val="1"/>
      <w:numFmt w:val="bullet"/>
      <w:lvlText w:val="●"/>
      <w:lvlJc w:val="left"/>
      <w:pPr>
        <w:ind w:left="2880" w:hanging="360"/>
      </w:pPr>
    </w:lvl>
    <w:lvl w:ilvl="4" w:tplc="2C984688">
      <w:start w:val="1"/>
      <w:numFmt w:val="bullet"/>
      <w:lvlText w:val="○"/>
      <w:lvlJc w:val="left"/>
      <w:pPr>
        <w:ind w:left="3600" w:hanging="360"/>
      </w:pPr>
    </w:lvl>
    <w:lvl w:ilvl="5" w:tplc="3A4A7522">
      <w:start w:val="1"/>
      <w:numFmt w:val="bullet"/>
      <w:lvlText w:val="■"/>
      <w:lvlJc w:val="left"/>
      <w:pPr>
        <w:ind w:left="4320" w:hanging="360"/>
      </w:pPr>
    </w:lvl>
    <w:lvl w:ilvl="6" w:tplc="326E1A8E">
      <w:start w:val="1"/>
      <w:numFmt w:val="bullet"/>
      <w:lvlText w:val="●"/>
      <w:lvlJc w:val="left"/>
      <w:pPr>
        <w:ind w:left="5040" w:hanging="360"/>
      </w:pPr>
    </w:lvl>
    <w:lvl w:ilvl="7" w:tplc="086C5C48">
      <w:start w:val="1"/>
      <w:numFmt w:val="bullet"/>
      <w:lvlText w:val="●"/>
      <w:lvlJc w:val="left"/>
      <w:pPr>
        <w:ind w:left="5760" w:hanging="360"/>
      </w:pPr>
    </w:lvl>
    <w:lvl w:ilvl="8" w:tplc="CE1827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6654FA"/>
    <w:multiLevelType w:val="hybridMultilevel"/>
    <w:tmpl w:val="FFFFFFFF"/>
    <w:lvl w:ilvl="0" w:tplc="A93CF690">
      <w:start w:val="1"/>
      <w:numFmt w:val="bullet"/>
      <w:lvlText w:val="•"/>
      <w:lvlJc w:val="left"/>
      <w:pPr>
        <w:ind w:left="560" w:hanging="280"/>
      </w:pPr>
    </w:lvl>
    <w:lvl w:ilvl="1" w:tplc="8F7061FA">
      <w:numFmt w:val="decimal"/>
      <w:lvlText w:val=""/>
      <w:lvlJc w:val="left"/>
    </w:lvl>
    <w:lvl w:ilvl="2" w:tplc="1AF482EE">
      <w:numFmt w:val="decimal"/>
      <w:lvlText w:val=""/>
      <w:lvlJc w:val="left"/>
    </w:lvl>
    <w:lvl w:ilvl="3" w:tplc="6526030A">
      <w:numFmt w:val="decimal"/>
      <w:lvlText w:val=""/>
      <w:lvlJc w:val="left"/>
    </w:lvl>
    <w:lvl w:ilvl="4" w:tplc="E1AC3F7C">
      <w:numFmt w:val="decimal"/>
      <w:lvlText w:val=""/>
      <w:lvlJc w:val="left"/>
    </w:lvl>
    <w:lvl w:ilvl="5" w:tplc="EC26118C">
      <w:numFmt w:val="decimal"/>
      <w:lvlText w:val=""/>
      <w:lvlJc w:val="left"/>
    </w:lvl>
    <w:lvl w:ilvl="6" w:tplc="6948679A">
      <w:numFmt w:val="decimal"/>
      <w:lvlText w:val=""/>
      <w:lvlJc w:val="left"/>
    </w:lvl>
    <w:lvl w:ilvl="7" w:tplc="20B07C2A">
      <w:numFmt w:val="decimal"/>
      <w:lvlText w:val=""/>
      <w:lvlJc w:val="left"/>
    </w:lvl>
    <w:lvl w:ilvl="8" w:tplc="EEEC7D9C">
      <w:numFmt w:val="decimal"/>
      <w:lvlText w:val=""/>
      <w:lvlJc w:val="left"/>
    </w:lvl>
  </w:abstractNum>
  <w:num w:numId="1" w16cid:durableId="1942908069">
    <w:abstractNumId w:val="0"/>
    <w:lvlOverride w:ilvl="0">
      <w:startOverride w:val="1"/>
    </w:lvlOverride>
  </w:num>
  <w:num w:numId="2" w16cid:durableId="13469804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05"/>
    <w:rsid w:val="000F4062"/>
    <w:rsid w:val="006C54E9"/>
    <w:rsid w:val="0070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3CCA6"/>
  <w15:docId w15:val="{20A7DFC4-CBDE-FC41-8ABE-1937CED7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937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2026-03-14T14:39:00Z</dcterms:created>
  <dcterms:modified xsi:type="dcterms:W3CDTF">2026-03-14T14:39:00Z</dcterms:modified>
</cp:coreProperties>
</file>