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63C3" w14:textId="77777777" w:rsidR="004028ED" w:rsidRPr="003B75A4" w:rsidRDefault="00AC0BB0">
      <w:pPr>
        <w:spacing w:after="50"/>
        <w:jc w:val="center"/>
      </w:pPr>
      <w:r w:rsidRPr="003B75A4">
        <w:rPr>
          <w:b/>
          <w:bCs/>
          <w:color w:val="4B3F8F"/>
          <w:sz w:val="28"/>
          <w:szCs w:val="28"/>
        </w:rPr>
        <w:t>Fiche de Révision — Module 10</w:t>
      </w:r>
    </w:p>
    <w:p w14:paraId="7F2D29BF" w14:textId="77777777" w:rsidR="004028ED" w:rsidRPr="003B75A4" w:rsidRDefault="00AC0BB0">
      <w:pPr>
        <w:shd w:val="clear" w:color="auto" w:fill="4B3F8F"/>
        <w:jc w:val="center"/>
      </w:pPr>
      <w:r w:rsidRPr="003B75A4">
        <w:rPr>
          <w:b/>
          <w:bCs/>
          <w:color w:val="FFFFFF"/>
          <w:sz w:val="32"/>
          <w:szCs w:val="32"/>
        </w:rPr>
        <w:t>Protocoles de prévention, d’accompagnement et de soutien</w:t>
      </w:r>
    </w:p>
    <w:p w14:paraId="02A77289" w14:textId="77777777" w:rsidR="004028ED" w:rsidRPr="003B75A4" w:rsidRDefault="00AC0BB0">
      <w:pPr>
        <w:shd w:val="clear" w:color="auto" w:fill="E8835A"/>
        <w:spacing w:after="180"/>
        <w:jc w:val="center"/>
      </w:pPr>
      <w:r w:rsidRPr="003B75A4">
        <w:rPr>
          <w:b/>
          <w:bCs/>
          <w:color w:val="FFFFFF"/>
        </w:rPr>
        <w:t>Maladies Neurodégénératives — Approche naturopathique</w:t>
      </w:r>
    </w:p>
    <w:p w14:paraId="6CE1A5B1" w14:textId="77777777" w:rsidR="004028ED" w:rsidRPr="003B75A4" w:rsidRDefault="00AC0BB0">
      <w:pPr>
        <w:pBdr>
          <w:bottom w:val="single" w:sz="10" w:space="4" w:color="E8835A"/>
        </w:pBdr>
        <w:spacing w:before="260" w:after="100"/>
      </w:pPr>
      <w:r w:rsidRPr="003B75A4">
        <w:rPr>
          <w:b/>
          <w:bCs/>
          <w:color w:val="4B3F8F"/>
          <w:sz w:val="26"/>
          <w:szCs w:val="26"/>
        </w:rPr>
        <w:t>Logique générale : pourquoi ce protocole ?</w:t>
      </w:r>
    </w:p>
    <w:p w14:paraId="279E72C9" w14:textId="77777777" w:rsidR="004028ED" w:rsidRPr="003B75A4" w:rsidRDefault="00AC0BB0">
      <w:pPr>
        <w:spacing w:before="55" w:after="55"/>
      </w:pPr>
      <w:r w:rsidRPr="003B75A4">
        <w:t xml:space="preserve">Le protocole naturopathique s’appuie </w:t>
      </w:r>
      <w:r w:rsidRPr="003B75A4">
        <w:rPr>
          <w:b/>
          <w:bCs/>
          <w:color w:val="4B3F8F"/>
        </w:rPr>
        <w:t>directement sur la physiopathologie</w:t>
      </w:r>
      <w:r w:rsidRPr="003B75A4">
        <w:t xml:space="preserve"> : chaque intervention cible un mécanisme précis de neurodégénérescence.</w:t>
      </w:r>
    </w:p>
    <w:p w14:paraId="04A6609D" w14:textId="77777777" w:rsidR="004028ED" w:rsidRPr="003B75A4" w:rsidRDefault="004028E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4028ED" w:rsidRPr="003B75A4" w14:paraId="530BA3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DD52778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Mécanisme pathologique</w:t>
            </w:r>
          </w:p>
        </w:tc>
        <w:tc>
          <w:tcPr>
            <w:tcW w:w="56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5582EE3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Objectif naturopathique</w:t>
            </w:r>
          </w:p>
        </w:tc>
      </w:tr>
      <w:tr w:rsidR="004028ED" w:rsidRPr="003B75A4" w14:paraId="01D5A5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09B2B30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Mort des neurones / absence de neurogenèse</w:t>
            </w:r>
          </w:p>
        </w:tc>
        <w:tc>
          <w:tcPr>
            <w:tcW w:w="56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BD47D3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Stimuler la neurogenèse et protéger la neuro-structure</w:t>
            </w:r>
          </w:p>
        </w:tc>
      </w:tr>
      <w:tr w:rsidR="004028ED" w:rsidRPr="003B75A4" w14:paraId="1651A7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2F1CCB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Déficit en neurotransmetteurs (Ach, DA, GABA)</w:t>
            </w:r>
          </w:p>
        </w:tc>
        <w:tc>
          <w:tcPr>
            <w:tcW w:w="56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670895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Apporter les précurseurs et cofacteurs adaptés</w:t>
            </w:r>
          </w:p>
        </w:tc>
      </w:tr>
      <w:tr w:rsidR="004028ED" w:rsidRPr="003B75A4" w14:paraId="03F6F2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584316A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Stress oxydant / accumulation de ROS</w:t>
            </w:r>
          </w:p>
        </w:tc>
        <w:tc>
          <w:tcPr>
            <w:tcW w:w="56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B68865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Renforcer les défenses antioxydantes endogènes et exogènes</w:t>
            </w:r>
          </w:p>
        </w:tc>
      </w:tr>
      <w:tr w:rsidR="004028ED" w:rsidRPr="003B75A4" w14:paraId="666D98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3B58D21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Neuroinflammation (microglie, cytokines, BHE)</w:t>
            </w:r>
          </w:p>
        </w:tc>
        <w:tc>
          <w:tcPr>
            <w:tcW w:w="56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6F3EA3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Moduler et calmer la réponse inflammatoire cérébrale</w:t>
            </w:r>
          </w:p>
        </w:tc>
      </w:tr>
      <w:tr w:rsidR="004028ED" w:rsidRPr="003B75A4" w14:paraId="7EF2E3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5840425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Dysbiose / axe intestin-cerveau</w:t>
            </w:r>
          </w:p>
        </w:tc>
        <w:tc>
          <w:tcPr>
            <w:tcW w:w="56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49FBBC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Optimiser le microbiote et la barrière intestinale</w:t>
            </w:r>
          </w:p>
        </w:tc>
      </w:tr>
    </w:tbl>
    <w:p w14:paraId="4719557C" w14:textId="77777777" w:rsidR="004028ED" w:rsidRPr="003B75A4" w:rsidRDefault="004028ED">
      <w:pPr>
        <w:spacing w:before="120"/>
      </w:pPr>
    </w:p>
    <w:p w14:paraId="31F14A31" w14:textId="77777777" w:rsidR="004028ED" w:rsidRPr="003B75A4" w:rsidRDefault="00AC0BB0">
      <w:pPr>
        <w:pBdr>
          <w:bottom w:val="single" w:sz="10" w:space="4" w:color="E8835A"/>
        </w:pBdr>
        <w:spacing w:before="260" w:after="100"/>
      </w:pPr>
      <w:r w:rsidRPr="003B75A4">
        <w:rPr>
          <w:b/>
          <w:bCs/>
          <w:color w:val="4B3F8F"/>
          <w:sz w:val="26"/>
          <w:szCs w:val="26"/>
        </w:rPr>
        <w:t>Les 4 piliers transversaux (base de tout protocole)</w:t>
      </w:r>
    </w:p>
    <w:p w14:paraId="10B812F8" w14:textId="77777777" w:rsidR="004028ED" w:rsidRPr="003B75A4" w:rsidRDefault="00AC0BB0">
      <w:pPr>
        <w:spacing w:before="55" w:after="55"/>
      </w:pPr>
      <w:r w:rsidRPr="003B75A4">
        <w:rPr>
          <w:i/>
          <w:iCs/>
          <w:color w:val="E8835A"/>
        </w:rPr>
        <w:t>Ces 4 éléments s’appliquent à tous les patients, quel que soit le stade ou la maladie.</w:t>
      </w:r>
    </w:p>
    <w:p w14:paraId="00BC6D6B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028ED" w:rsidRPr="003B75A4" w14:paraId="79CA05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7BE539F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B9AEBFB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Pilier</w:t>
            </w:r>
          </w:p>
        </w:tc>
        <w:tc>
          <w:tcPr>
            <w:tcW w:w="60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15BCCBB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Détails clés</w:t>
            </w:r>
          </w:p>
        </w:tc>
      </w:tr>
      <w:tr w:rsidR="004028ED" w:rsidRPr="003B75A4" w14:paraId="2B5F8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650BB24" w14:textId="77777777" w:rsidR="004028ED" w:rsidRPr="003B75A4" w:rsidRDefault="00AC0BB0">
            <w:pPr>
              <w:spacing w:before="30" w:after="30"/>
              <w:jc w:val="center"/>
            </w:pPr>
            <w:r w:rsidRPr="003B75A4">
              <w:rPr>
                <w:b/>
                <w:bCs/>
                <w:color w:val="4B3F8F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22840A5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E8835A"/>
                <w:sz w:val="21"/>
                <w:szCs w:val="21"/>
              </w:rPr>
              <w:t>Alimentation</w:t>
            </w:r>
          </w:p>
        </w:tc>
        <w:tc>
          <w:tcPr>
            <w:tcW w:w="60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D4501B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Diète méditerranéenne • Aliments à index glycémique bas • Riches en antioxydants • Équilibre AGω6/ω3 • Réduction des AG trans et huile de palme • AA précurseurs des neurotransmetteurs + cofacteurs</w:t>
            </w:r>
          </w:p>
        </w:tc>
      </w:tr>
      <w:tr w:rsidR="004028ED" w:rsidRPr="003B75A4" w14:paraId="48691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A0D0BE3" w14:textId="77777777" w:rsidR="004028ED" w:rsidRPr="003B75A4" w:rsidRDefault="00AC0BB0">
            <w:pPr>
              <w:spacing w:before="30" w:after="30"/>
              <w:jc w:val="center"/>
            </w:pPr>
            <w:r w:rsidRPr="003B75A4">
              <w:rPr>
                <w:b/>
                <w:bCs/>
                <w:color w:val="4B3F8F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18DAACE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E8835A"/>
                <w:sz w:val="21"/>
                <w:szCs w:val="21"/>
              </w:rPr>
              <w:t>Activité physique</w:t>
            </w:r>
          </w:p>
        </w:tc>
        <w:tc>
          <w:tcPr>
            <w:tcW w:w="60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2DE622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Régulière et adaptée • Améliore la perfusion cérébrale • Stimule le BDNF (facteur neurotrophique) • Réduit l’inflammaging</w:t>
            </w:r>
          </w:p>
        </w:tc>
      </w:tr>
      <w:tr w:rsidR="004028ED" w:rsidRPr="003B75A4" w14:paraId="5B6133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3365577" w14:textId="77777777" w:rsidR="004028ED" w:rsidRPr="003B75A4" w:rsidRDefault="00AC0BB0">
            <w:pPr>
              <w:spacing w:before="30" w:after="30"/>
              <w:jc w:val="center"/>
            </w:pPr>
            <w:r w:rsidRPr="003B75A4">
              <w:rPr>
                <w:b/>
                <w:bCs/>
                <w:color w:val="4B3F8F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67956AC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E8835A"/>
                <w:sz w:val="21"/>
                <w:szCs w:val="21"/>
              </w:rPr>
              <w:t>Qualité du sommeil</w:t>
            </w:r>
          </w:p>
        </w:tc>
        <w:tc>
          <w:tcPr>
            <w:tcW w:w="60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7FEF74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Prioritaire +++ • Phase de sommeil = nettoyage cérébral (système glymphatique) • Mélatonine naturellement antioxydante</w:t>
            </w:r>
          </w:p>
        </w:tc>
      </w:tr>
      <w:tr w:rsidR="004028ED" w:rsidRPr="003B75A4" w14:paraId="3EE609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B0B98EE" w14:textId="77777777" w:rsidR="004028ED" w:rsidRPr="003B75A4" w:rsidRDefault="00AC0BB0">
            <w:pPr>
              <w:spacing w:before="30" w:after="30"/>
              <w:jc w:val="center"/>
            </w:pPr>
            <w:r w:rsidRPr="003B75A4">
              <w:rPr>
                <w:b/>
                <w:bCs/>
                <w:color w:val="4B3F8F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F6BB2D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E8835A"/>
                <w:sz w:val="21"/>
                <w:szCs w:val="21"/>
              </w:rPr>
              <w:t>Gestion du stress</w:t>
            </w:r>
          </w:p>
        </w:tc>
        <w:tc>
          <w:tcPr>
            <w:tcW w:w="60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277899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Plantes adaptogènes (ashwagandha, rhodiola…) • Techniques corpo-psych (sophrologie, respiration) • Le stress chronique aggrave la neuroinflammation</w:t>
            </w:r>
          </w:p>
        </w:tc>
      </w:tr>
    </w:tbl>
    <w:p w14:paraId="1A195E11" w14:textId="77777777" w:rsidR="004028ED" w:rsidRPr="003B75A4" w:rsidRDefault="00AC0BB0">
      <w:r w:rsidRPr="003B75A4">
        <w:br w:type="page"/>
      </w:r>
    </w:p>
    <w:p w14:paraId="5A3A7D07" w14:textId="77777777" w:rsidR="004028ED" w:rsidRPr="003B75A4" w:rsidRDefault="00AC0BB0">
      <w:pPr>
        <w:pBdr>
          <w:bottom w:val="single" w:sz="10" w:space="4" w:color="E8835A"/>
        </w:pBdr>
        <w:spacing w:before="260" w:after="100"/>
      </w:pPr>
      <w:r w:rsidRPr="003B75A4">
        <w:rPr>
          <w:b/>
          <w:bCs/>
          <w:color w:val="1B7A6E"/>
          <w:sz w:val="26"/>
          <w:szCs w:val="26"/>
        </w:rPr>
        <w:lastRenderedPageBreak/>
        <w:t>Axe 1 — Soutenir la neurogenèse et la neuro-structure</w:t>
      </w:r>
    </w:p>
    <w:p w14:paraId="10DB60FE" w14:textId="77777777" w:rsidR="004028ED" w:rsidRPr="003B75A4" w:rsidRDefault="00AC0BB0">
      <w:pPr>
        <w:spacing w:before="55" w:after="55"/>
      </w:pPr>
      <w:r w:rsidRPr="003B75A4">
        <w:rPr>
          <w:b/>
          <w:bCs/>
          <w:color w:val="1B7A6E"/>
        </w:rPr>
        <w:t xml:space="preserve">Objectif : </w:t>
      </w:r>
      <w:r w:rsidRPr="003B75A4">
        <w:t>stimuler la fabrication de nouveaux neurones, consolider les synapses existantes, protéger le cytosquelette neuronal.</w:t>
      </w:r>
    </w:p>
    <w:p w14:paraId="4B24B5E2" w14:textId="77777777" w:rsidR="004028ED" w:rsidRPr="003B75A4" w:rsidRDefault="004028ED">
      <w:pPr>
        <w:spacing w:before="80"/>
      </w:pPr>
    </w:p>
    <w:p w14:paraId="5A626F20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1B7A6E"/>
          <w:sz w:val="23"/>
          <w:szCs w:val="23"/>
        </w:rPr>
        <w:t>A. Action sur la neurogenèse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26"/>
        <w:gridCol w:w="2100"/>
      </w:tblGrid>
      <w:tr w:rsidR="004028ED" w:rsidRPr="003B75A4" w14:paraId="53B3C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D4DF82B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3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3363F6C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Mécanisme d’action</w:t>
            </w:r>
          </w:p>
        </w:tc>
        <w:tc>
          <w:tcPr>
            <w:tcW w:w="21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32BD5BE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</w:t>
            </w:r>
          </w:p>
        </w:tc>
      </w:tr>
      <w:tr w:rsidR="004028ED" w:rsidRPr="003B75A4" w14:paraId="13C7C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3D0C26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Phosphatidylsérine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ABDCBD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Phospholipide membranaire → répare les altérations biochimiques des cellules nerveuses, soutient la formation de nouvelles synapses, dendrites et récepteurs membranaires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E41F7B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Selon les études cliniques</w:t>
            </w:r>
          </w:p>
        </w:tc>
      </w:tr>
      <w:tr w:rsidR="004028ED" w:rsidRPr="003B75A4" w14:paraId="12C01B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1861E5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Hydne Hérisson (Hericium erinaceus)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147592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Champignon médicinal → stimule la synthèse du NGF (Nerve Growth Factor), polypeptide indispensable au développement neuronal et aux capacités cognitives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934341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Extrait standardisé</w:t>
            </w:r>
          </w:p>
        </w:tc>
      </w:tr>
      <w:tr w:rsidR="004028ED" w:rsidRPr="003B75A4" w14:paraId="7D813F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EED899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Polygala tenuifolia (Yuan Zhi)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9C588B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Plante TCM → régule le développement des cellules souches neuronales de l’hippocampe, soutient mémoires verbales et visio-spatiales, lutte contre les troubles du langage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A1A497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Extrait standardisé</w:t>
            </w:r>
          </w:p>
        </w:tc>
      </w:tr>
    </w:tbl>
    <w:p w14:paraId="626F346C" w14:textId="77777777" w:rsidR="004028ED" w:rsidRPr="003B75A4" w:rsidRDefault="004028ED">
      <w:pPr>
        <w:spacing w:before="120"/>
      </w:pPr>
    </w:p>
    <w:p w14:paraId="5F3B025A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1B7A6E"/>
          <w:sz w:val="23"/>
          <w:szCs w:val="23"/>
        </w:rPr>
        <w:t>B. Action sur la neuro-structure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726"/>
        <w:gridCol w:w="2100"/>
      </w:tblGrid>
      <w:tr w:rsidR="004028ED" w:rsidRPr="003B75A4" w14:paraId="63244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5D61ED8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7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26A30BE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Mécanisme d’action</w:t>
            </w:r>
          </w:p>
        </w:tc>
        <w:tc>
          <w:tcPr>
            <w:tcW w:w="21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EDCAEA2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 conseillée</w:t>
            </w:r>
          </w:p>
        </w:tc>
      </w:tr>
      <w:tr w:rsidR="004028ED" w:rsidRPr="003B75A4" w14:paraId="12322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2A606E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Sélénium</w:t>
            </w:r>
          </w:p>
        </w:tc>
        <w:tc>
          <w:tcPr>
            <w:tcW w:w="4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6641B2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Oligo-élément crucial pour le cerveau → inhibe l’hyperphosphorylation des protéines Tau (protection cytosquelette) → freine le déclin cognitif. Choisir sélénométhionine ou levures riches en Se.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9732A7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50 à 80 μg/j en 2 prises</w:t>
            </w:r>
          </w:p>
        </w:tc>
      </w:tr>
      <w:tr w:rsidR="004028ED" w:rsidRPr="003B75A4" w14:paraId="7EEC5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166E6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Iode</w:t>
            </w:r>
          </w:p>
        </w:tc>
        <w:tc>
          <w:tcPr>
            <w:tcW w:w="4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996F7B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Essentiel au système nerveux → les hormones thyroïdiennes influencent la fonction synaptique, la structure des dendrites et la composition de la myéline. Soutient la neurotransmission (Ach, noradrénaline, dopamine).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FAA9A3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150 μg/j</w:t>
            </w:r>
          </w:p>
        </w:tc>
      </w:tr>
    </w:tbl>
    <w:p w14:paraId="4AD95B2D" w14:textId="77777777" w:rsidR="004028ED" w:rsidRPr="003B75A4" w:rsidRDefault="004028ED">
      <w:pPr>
        <w:spacing w:before="120"/>
      </w:pPr>
    </w:p>
    <w:p w14:paraId="0F8B9FFF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1B7A6E"/>
          <w:sz w:val="23"/>
          <w:szCs w:val="23"/>
        </w:rPr>
        <w:t>C. Les neuro-actifs végétaux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26"/>
        <w:gridCol w:w="2300"/>
      </w:tblGrid>
      <w:tr w:rsidR="004028ED" w:rsidRPr="003B75A4" w14:paraId="034E3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A85BA85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Plante</w:t>
            </w:r>
          </w:p>
        </w:tc>
        <w:tc>
          <w:tcPr>
            <w:tcW w:w="43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7518C0E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23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E76EC26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</w:t>
            </w:r>
          </w:p>
        </w:tc>
      </w:tr>
      <w:tr w:rsidR="004028ED" w:rsidRPr="003B75A4" w14:paraId="2942C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AFD2F2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Bacopa monnieri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E08073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Agit sur l’hippocampe (centre de la mémorisation à long terme) → consolide le stockage des informations, soutient les fonctions intellectuelles</w:t>
            </w:r>
          </w:p>
        </w:tc>
        <w:tc>
          <w:tcPr>
            <w:tcW w:w="23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5091A4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Poudre 200 mg OU extrait 5% bacosides 300 mg</w:t>
            </w:r>
          </w:p>
        </w:tc>
      </w:tr>
      <w:tr w:rsidR="004028ED" w:rsidRPr="003B75A4" w14:paraId="2FC5D0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322C8F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lastRenderedPageBreak/>
              <w:t>Guarana (Paullinia cupana)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884A84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Prévient les dysfonctionnements cognitifs induits par l’hyperlipidémie (artérosclérose, altération de l’activité de l’acétylcholinestérase)</w:t>
            </w:r>
          </w:p>
        </w:tc>
        <w:tc>
          <w:tcPr>
            <w:tcW w:w="23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437E7D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Max 100–200 mg cafféine/j soit 3–6 g drogue/j</w:t>
            </w:r>
          </w:p>
        </w:tc>
      </w:tr>
    </w:tbl>
    <w:p w14:paraId="186DDC7E" w14:textId="77777777" w:rsidR="0074563B" w:rsidRDefault="0074563B" w:rsidP="0074563B"/>
    <w:p w14:paraId="2CD9992C" w14:textId="2A87023E" w:rsidR="004028ED" w:rsidRPr="003B75A4" w:rsidRDefault="00AC0BB0" w:rsidP="0074563B">
      <w:r w:rsidRPr="003B75A4">
        <w:rPr>
          <w:b/>
          <w:bCs/>
          <w:color w:val="4B3F8F"/>
          <w:sz w:val="26"/>
          <w:szCs w:val="26"/>
        </w:rPr>
        <w:t>Axe 2 — Soutenir la neurotransmission</w:t>
      </w:r>
    </w:p>
    <w:p w14:paraId="32D6051A" w14:textId="77777777" w:rsidR="004028ED" w:rsidRPr="003B75A4" w:rsidRDefault="00AC0BB0">
      <w:pPr>
        <w:spacing w:before="55" w:after="55"/>
      </w:pPr>
      <w:r w:rsidRPr="003B75A4">
        <w:rPr>
          <w:b/>
          <w:bCs/>
          <w:color w:val="4B3F8F"/>
        </w:rPr>
        <w:t xml:space="preserve">Objectif : </w:t>
      </w:r>
      <w:r w:rsidRPr="003B75A4">
        <w:t>apporter les précurseurs et cofacteurs des neurotransmetteurs déficitaires dans les MND.</w:t>
      </w:r>
    </w:p>
    <w:p w14:paraId="578E814C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028ED" w:rsidRPr="003B75A4" w14:paraId="2906DF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4B3F8F"/>
              <w:left w:val="single" w:sz="24" w:space="0" w:color="4B3F8F"/>
              <w:bottom w:val="single" w:sz="4" w:space="0" w:color="4B3F8F"/>
              <w:right w:val="single" w:sz="4" w:space="0" w:color="4B3F8F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32C0F" w14:textId="77777777" w:rsidR="004028ED" w:rsidRPr="003B75A4" w:rsidRDefault="00AC0BB0">
            <w:pPr>
              <w:spacing w:before="40" w:after="40"/>
            </w:pPr>
            <w:r w:rsidRPr="003B75A4">
              <w:rPr>
                <w:b/>
                <w:bCs/>
                <w:color w:val="4B3F8F"/>
              </w:rPr>
              <w:t xml:space="preserve">  Rappel : quels NT sont affectés dans les MND ?</w:t>
            </w:r>
          </w:p>
          <w:p w14:paraId="41BE010F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Acétylcholine (Ach) : très réduite dans Alzheimer → troubles de mémoire et d’apprentissage</w:t>
            </w:r>
          </w:p>
          <w:p w14:paraId="313B6C79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Dopamine (DA) : détruite dans Parkinson (substance noire) → troubles moteurs, cognition</w:t>
            </w:r>
          </w:p>
          <w:p w14:paraId="4FBD377F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GABA / Glutamate : équilibre excitation/inhibition perturbé → excitotoxicité (NMDA)</w:t>
            </w:r>
          </w:p>
        </w:tc>
      </w:tr>
    </w:tbl>
    <w:p w14:paraId="07B1507D" w14:textId="77777777" w:rsidR="004028ED" w:rsidRPr="003B75A4" w:rsidRDefault="004028ED">
      <w:pPr>
        <w:spacing w:before="120"/>
      </w:pPr>
    </w:p>
    <w:p w14:paraId="386971C6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4B3F8F"/>
          <w:sz w:val="23"/>
          <w:szCs w:val="23"/>
        </w:rPr>
        <w:t>A. Transmission cholinergique (Ach)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4476"/>
        <w:gridCol w:w="1921"/>
      </w:tblGrid>
      <w:tr w:rsidR="004028ED" w:rsidRPr="003B75A4" w14:paraId="2E6F0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03E92C5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4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B91613D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Mécanisme</w:t>
            </w:r>
          </w:p>
        </w:tc>
        <w:tc>
          <w:tcPr>
            <w:tcW w:w="19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34C3A8C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</w:t>
            </w:r>
          </w:p>
        </w:tc>
      </w:tr>
      <w:tr w:rsidR="004028ED" w:rsidRPr="003B75A4" w14:paraId="5DDD02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397648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Phosphatidylcholine (lécithine)</w:t>
            </w:r>
          </w:p>
        </w:tc>
        <w:tc>
          <w:tcPr>
            <w:tcW w:w="4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1F8816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Phospholipide précurseur de l’acétylcholine. Une baisse d’Ach est corrélée au déclin cognitif.</w:t>
            </w:r>
          </w:p>
        </w:tc>
        <w:tc>
          <w:tcPr>
            <w:tcW w:w="19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5886D7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400 mg/j</w:t>
            </w:r>
          </w:p>
        </w:tc>
      </w:tr>
      <w:tr w:rsidR="004028ED" w:rsidRPr="003B75A4" w14:paraId="0F386F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2B84A5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Huperzine A (Hupersia serrata)</w:t>
            </w:r>
          </w:p>
        </w:tc>
        <w:tc>
          <w:tcPr>
            <w:tcW w:w="4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307F6D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Inhibe l’acétylcholinestérase (enzyme qui dégrade l’Ach) → retarde la dégradation de l’Ach dans la fente synaptique → améliore la transmission cholinergique</w:t>
            </w:r>
          </w:p>
        </w:tc>
        <w:tc>
          <w:tcPr>
            <w:tcW w:w="19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3967CA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100 μg d’huperzine A/j</w:t>
            </w:r>
          </w:p>
        </w:tc>
      </w:tr>
    </w:tbl>
    <w:p w14:paraId="0326E01A" w14:textId="77777777" w:rsidR="004028ED" w:rsidRPr="003B75A4" w:rsidRDefault="004028ED">
      <w:pPr>
        <w:spacing w:before="120"/>
      </w:pPr>
    </w:p>
    <w:p w14:paraId="056FEEE2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4B3F8F"/>
          <w:sz w:val="23"/>
          <w:szCs w:val="23"/>
        </w:rPr>
        <w:t>B. Transmission dopaminergique (DA)</w:t>
      </w:r>
    </w:p>
    <w:p w14:paraId="322C18BD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t>La L-Tyrosine est transportée à travers la BHE via le transporteur LAT1 → c’est le précurseur direct de la dopamine.</w:t>
      </w:r>
    </w:p>
    <w:p w14:paraId="60BDE3D2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4476"/>
        <w:gridCol w:w="1921"/>
      </w:tblGrid>
      <w:tr w:rsidR="004028ED" w:rsidRPr="003B75A4" w14:paraId="2D9B6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FD9C754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4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0C0CBC4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  <w:tc>
          <w:tcPr>
            <w:tcW w:w="19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F55E768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</w:t>
            </w:r>
          </w:p>
        </w:tc>
      </w:tr>
      <w:tr w:rsidR="004028ED" w:rsidRPr="003B75A4" w14:paraId="0BE6A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E9998C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L-Tyrosine</w:t>
            </w:r>
          </w:p>
        </w:tc>
        <w:tc>
          <w:tcPr>
            <w:tcW w:w="4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5871EC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Précurseur de la dopamine (et de la noradrénaline, l’adrénaline). Soutient la vigilance, la concentration, la mémorisation et le contrôle des mouvements.</w:t>
            </w:r>
          </w:p>
        </w:tc>
        <w:tc>
          <w:tcPr>
            <w:tcW w:w="19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BB578C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700 mg/j</w:t>
            </w:r>
          </w:p>
        </w:tc>
      </w:tr>
      <w:tr w:rsidR="004028ED" w:rsidRPr="003B75A4" w14:paraId="017CA8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798F0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Vitamine C liposomale</w:t>
            </w:r>
          </w:p>
        </w:tc>
        <w:tc>
          <w:tcPr>
            <w:tcW w:w="4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470F66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Augmente le taux de tyrosine hydroxylase (enzyme de conversion Tyrosine → DOPA) → optimise la synthèse de dopamine. Cofacteur indispensable.</w:t>
            </w:r>
          </w:p>
        </w:tc>
        <w:tc>
          <w:tcPr>
            <w:tcW w:w="19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CA8C43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500 mg à 10 g/j</w:t>
            </w:r>
          </w:p>
        </w:tc>
      </w:tr>
    </w:tbl>
    <w:p w14:paraId="265948FD" w14:textId="77777777" w:rsidR="004028ED" w:rsidRDefault="004028ED">
      <w:pPr>
        <w:spacing w:before="120"/>
      </w:pPr>
    </w:p>
    <w:p w14:paraId="14C575A1" w14:textId="77777777" w:rsidR="0074563B" w:rsidRDefault="0074563B">
      <w:pPr>
        <w:spacing w:before="120"/>
      </w:pPr>
    </w:p>
    <w:p w14:paraId="52E93B66" w14:textId="77777777" w:rsidR="0074563B" w:rsidRDefault="0074563B">
      <w:pPr>
        <w:spacing w:before="120"/>
      </w:pPr>
    </w:p>
    <w:p w14:paraId="70838B77" w14:textId="77777777" w:rsidR="0074563B" w:rsidRDefault="0074563B">
      <w:pPr>
        <w:spacing w:before="120"/>
      </w:pPr>
    </w:p>
    <w:p w14:paraId="2F04A40B" w14:textId="77777777" w:rsidR="0074563B" w:rsidRPr="003B75A4" w:rsidRDefault="0074563B">
      <w:pPr>
        <w:spacing w:before="120"/>
      </w:pPr>
    </w:p>
    <w:p w14:paraId="4A51C982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4B3F8F"/>
          <w:sz w:val="23"/>
          <w:szCs w:val="23"/>
        </w:rPr>
        <w:lastRenderedPageBreak/>
        <w:t>C. Transmission glutaminergique / GABA</w:t>
      </w:r>
    </w:p>
    <w:p w14:paraId="3EAC5D07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t>L’acide glutamique en excès est excitotoxique (activation NMDA). Le magnésium et les AGPI freinent cette suractivation.</w:t>
      </w:r>
    </w:p>
    <w:p w14:paraId="75799AC6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726"/>
        <w:gridCol w:w="2100"/>
      </w:tblGrid>
      <w:tr w:rsidR="004028ED" w:rsidRPr="003B75A4" w14:paraId="1AFBF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53397D6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7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754DAF6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  <w:tc>
          <w:tcPr>
            <w:tcW w:w="21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D60F0A0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</w:t>
            </w:r>
          </w:p>
        </w:tc>
      </w:tr>
      <w:tr w:rsidR="004028ED" w:rsidRPr="003B75A4" w14:paraId="21E8A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FDDBBA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Zinc (Zn)</w:t>
            </w:r>
          </w:p>
        </w:tc>
        <w:tc>
          <w:tcPr>
            <w:tcW w:w="4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87535B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Coenzyme de la décarboxylase (transformation ac. glutamique → GABA) → favorise l’inhibition cérébrale. Antioxydant cofacteur SOD.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39A4F8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20 mg/j en 2 prises</w:t>
            </w:r>
          </w:p>
        </w:tc>
      </w:tr>
      <w:tr w:rsidR="004028ED" w:rsidRPr="003B75A4" w14:paraId="18F19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5542DB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Magnésium (Mg)</w:t>
            </w:r>
          </w:p>
        </w:tc>
        <w:tc>
          <w:tcPr>
            <w:tcW w:w="4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96A892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Bloque les récepteurs NMDA (anti-excitotoxique) → réduit l’afflux de Ca²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⁺</w:t>
            </w:r>
            <w:r w:rsidRPr="003B75A4">
              <w:rPr>
                <w:sz w:val="20"/>
                <w:szCs w:val="20"/>
              </w:rPr>
              <w:t>. Cofacteur enzymatique et de la synthèse GABA. AGPI de membrane : DHA, GLA.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71C04D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400 à 600 mg/j</w:t>
            </w:r>
          </w:p>
        </w:tc>
      </w:tr>
      <w:tr w:rsidR="004028ED" w:rsidRPr="003B75A4" w14:paraId="7EB14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85A161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AGPI (EPA/DHA)</w:t>
            </w:r>
          </w:p>
        </w:tc>
        <w:tc>
          <w:tcPr>
            <w:tcW w:w="4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30DA9A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Anti-inflammatoires et antioxydants cérébraux • DHA = constituant majeur des membranes neuronales • EPA freine les cytokines pro-inflammatoires (DGLA)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E3126F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500 mg/j EPA + 250 mg/j DHA</w:t>
            </w:r>
          </w:p>
        </w:tc>
      </w:tr>
    </w:tbl>
    <w:p w14:paraId="70E98D18" w14:textId="77777777" w:rsidR="0074563B" w:rsidRDefault="0074563B" w:rsidP="0074563B"/>
    <w:p w14:paraId="7520980E" w14:textId="6F03693F" w:rsidR="004028ED" w:rsidRPr="003B75A4" w:rsidRDefault="00AC0BB0" w:rsidP="0074563B">
      <w:r w:rsidRPr="003B75A4">
        <w:rPr>
          <w:b/>
          <w:bCs/>
          <w:color w:val="2E7D32"/>
          <w:sz w:val="26"/>
          <w:szCs w:val="26"/>
        </w:rPr>
        <w:t>Axe 3 — Renforcer les défenses antioxydantes</w:t>
      </w:r>
    </w:p>
    <w:p w14:paraId="7E76454C" w14:textId="77777777" w:rsidR="004028ED" w:rsidRPr="003B75A4" w:rsidRDefault="00AC0BB0">
      <w:pPr>
        <w:spacing w:before="55" w:after="55"/>
      </w:pPr>
      <w:r w:rsidRPr="003B75A4">
        <w:rPr>
          <w:b/>
          <w:bCs/>
          <w:color w:val="2E7D32"/>
        </w:rPr>
        <w:t xml:space="preserve">Objectif : </w:t>
      </w:r>
      <w:r w:rsidRPr="003B75A4">
        <w:t>neutraliser les ROS qui s’accumulent dans les neurones et déclenchent l’apoptose.</w:t>
      </w:r>
    </w:p>
    <w:p w14:paraId="1A4D6A53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028ED" w:rsidRPr="003B75A4" w14:paraId="3CEE1A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AF5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4B36B" w14:textId="77777777" w:rsidR="004028ED" w:rsidRPr="003B75A4" w:rsidRDefault="00AC0BB0">
            <w:pPr>
              <w:spacing w:before="40" w:after="40"/>
            </w:pPr>
            <w:r w:rsidRPr="003B75A4">
              <w:rPr>
                <w:b/>
                <w:bCs/>
                <w:color w:val="2E7D32"/>
              </w:rPr>
              <w:t xml:space="preserve">  Principe clé à retenir</w:t>
            </w:r>
          </w:p>
          <w:p w14:paraId="1493CB5E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Les antioxydants les plus efficaces sont ENDOGENES (SOD, CAT, GPx, Glutathion, CoQ10).</w:t>
            </w:r>
          </w:p>
          <w:p w14:paraId="04ED912C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Les antioxydants exogènes (alimentation, compléments) sont secondaires mais nécessaires.</w:t>
            </w:r>
          </w:p>
          <w:p w14:paraId="28E6E50E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Les cofacteurs minéraux (Zn, Cu, Se, Mn) sont indispensables pour que les enzymes fonctionnent.</w:t>
            </w:r>
          </w:p>
        </w:tc>
      </w:tr>
    </w:tbl>
    <w:p w14:paraId="15699DD8" w14:textId="77777777" w:rsidR="004028ED" w:rsidRPr="003B75A4" w:rsidRDefault="004028ED">
      <w:pPr>
        <w:spacing w:before="120"/>
      </w:pPr>
    </w:p>
    <w:p w14:paraId="0FD92164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2E7D32"/>
          <w:sz w:val="23"/>
          <w:szCs w:val="23"/>
        </w:rPr>
        <w:t>A. Systèmes enzymatiques endogènes (primaires)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26"/>
        <w:gridCol w:w="2300"/>
      </w:tblGrid>
      <w:tr w:rsidR="004028ED" w:rsidRPr="003B75A4" w14:paraId="2BB30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7E2BC77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Enzyme</w:t>
            </w:r>
          </w:p>
        </w:tc>
        <w:tc>
          <w:tcPr>
            <w:tcW w:w="43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064F17A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Réaction</w:t>
            </w:r>
          </w:p>
        </w:tc>
        <w:tc>
          <w:tcPr>
            <w:tcW w:w="23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B90C3C3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Cofacteurs indispensables</w:t>
            </w:r>
          </w:p>
        </w:tc>
      </w:tr>
      <w:tr w:rsidR="004028ED" w:rsidRPr="003B75A4" w14:paraId="72F46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DFA191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SOD (Superoxyde dismutase)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EA0B70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 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°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⁻</w:t>
            </w:r>
            <w:r w:rsidRPr="003B75A4">
              <w:rPr>
                <w:sz w:val="20"/>
                <w:szCs w:val="20"/>
              </w:rPr>
              <w:t xml:space="preserve"> + 2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⁺</w:t>
            </w:r>
            <w:r w:rsidRPr="003B75A4">
              <w:rPr>
                <w:sz w:val="20"/>
                <w:szCs w:val="20"/>
              </w:rPr>
              <w:t xml:space="preserve"> →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+ 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(neutralise les radicaux superoxydes)</w:t>
            </w:r>
          </w:p>
        </w:tc>
        <w:tc>
          <w:tcPr>
            <w:tcW w:w="23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69A928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Zinc (Zn), Cuivre (Cu), Manganèse (Mn)</w:t>
            </w:r>
          </w:p>
        </w:tc>
      </w:tr>
      <w:tr w:rsidR="004028ED" w:rsidRPr="003B75A4" w14:paraId="60B9F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57DB51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CAT (Catalase)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299379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→ 2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 + 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(décompose le peroxyde d’hydrogène)</w:t>
            </w:r>
          </w:p>
        </w:tc>
        <w:tc>
          <w:tcPr>
            <w:tcW w:w="23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F6FFA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Fer (Fe), Manganèse (Mn)</w:t>
            </w:r>
          </w:p>
        </w:tc>
      </w:tr>
      <w:tr w:rsidR="004028ED" w:rsidRPr="003B75A4" w14:paraId="7A58C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868E05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GPx (Glutathion peroxydase)</w:t>
            </w:r>
          </w:p>
        </w:tc>
        <w:tc>
          <w:tcPr>
            <w:tcW w:w="43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A735D5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 GSH +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→ GSSG + 2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 (réduit H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>O</w:t>
            </w:r>
            <w:r w:rsidRPr="003B75A4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3B75A4">
              <w:rPr>
                <w:sz w:val="20"/>
                <w:szCs w:val="20"/>
              </w:rPr>
              <w:t xml:space="preserve"> grâce au glutathion)</w:t>
            </w:r>
          </w:p>
        </w:tc>
        <w:tc>
          <w:tcPr>
            <w:tcW w:w="23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D1D15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Sélénium (Se) — sélénodépendante</w:t>
            </w:r>
          </w:p>
        </w:tc>
      </w:tr>
    </w:tbl>
    <w:p w14:paraId="3B3902FC" w14:textId="77777777" w:rsidR="004028ED" w:rsidRDefault="004028ED">
      <w:pPr>
        <w:spacing w:before="120"/>
      </w:pPr>
    </w:p>
    <w:p w14:paraId="36860DA4" w14:textId="77777777" w:rsidR="006D6473" w:rsidRDefault="006D6473">
      <w:pPr>
        <w:spacing w:before="120"/>
      </w:pPr>
    </w:p>
    <w:p w14:paraId="7D3E8540" w14:textId="77777777" w:rsidR="006D6473" w:rsidRDefault="006D6473">
      <w:pPr>
        <w:spacing w:before="120"/>
      </w:pPr>
    </w:p>
    <w:p w14:paraId="051306C1" w14:textId="77777777" w:rsidR="006D6473" w:rsidRDefault="006D6473">
      <w:pPr>
        <w:spacing w:before="120"/>
      </w:pPr>
    </w:p>
    <w:p w14:paraId="29567EBA" w14:textId="77777777" w:rsidR="006D6473" w:rsidRPr="003B75A4" w:rsidRDefault="006D6473">
      <w:pPr>
        <w:spacing w:before="120"/>
      </w:pPr>
    </w:p>
    <w:p w14:paraId="15345272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2E7D32"/>
          <w:sz w:val="23"/>
          <w:szCs w:val="23"/>
        </w:rPr>
        <w:lastRenderedPageBreak/>
        <w:t>B. Antioxydants « piégeurs » (secondaires)</w:t>
      </w:r>
    </w:p>
    <w:p w14:paraId="134B8B2D" w14:textId="77777777" w:rsidR="004028ED" w:rsidRPr="003B75A4" w:rsidRDefault="00AC0BB0">
      <w:pPr>
        <w:spacing w:before="55" w:after="55"/>
      </w:pPr>
      <w:r w:rsidRPr="003B75A4">
        <w:t xml:space="preserve">Deux catégories : les molécules </w:t>
      </w:r>
      <w:r w:rsidRPr="003B75A4">
        <w:rPr>
          <w:b/>
          <w:bCs/>
          <w:color w:val="2E7D32"/>
        </w:rPr>
        <w:t>endogènes</w:t>
      </w:r>
      <w:r w:rsidRPr="003B75A4">
        <w:t xml:space="preserve"> (que le corps fabrique) et les molécules </w:t>
      </w:r>
      <w:r w:rsidRPr="003B75A4">
        <w:rPr>
          <w:b/>
          <w:bCs/>
          <w:color w:val="2E7D32"/>
        </w:rPr>
        <w:t>exogènes</w:t>
      </w:r>
      <w:r w:rsidRPr="003B75A4">
        <w:t xml:space="preserve"> (alimentation et compléments).</w:t>
      </w:r>
    </w:p>
    <w:p w14:paraId="5426F3D2" w14:textId="77777777" w:rsidR="004028ED" w:rsidRPr="003B75A4" w:rsidRDefault="004028ED">
      <w:pPr>
        <w:spacing w:before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3926"/>
      </w:tblGrid>
      <w:tr w:rsidR="004028ED" w:rsidRPr="003B75A4" w14:paraId="540856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5649B26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FA0F52B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Molécules</w:t>
            </w:r>
          </w:p>
        </w:tc>
        <w:tc>
          <w:tcPr>
            <w:tcW w:w="39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CEA4FE8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Sources / Remarques</w:t>
            </w:r>
          </w:p>
        </w:tc>
      </w:tr>
      <w:tr w:rsidR="004028ED" w:rsidRPr="003B75A4" w14:paraId="12FF6B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AF5EA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EEEBA7E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2E7D32"/>
                <w:sz w:val="21"/>
                <w:szCs w:val="21"/>
              </w:rPr>
              <w:t>Endogènes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AF5EA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775533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Glutathion (GSH) • CoQ10 • Thiorédoxine • Mélatonine • Acide urique</w:t>
            </w:r>
          </w:p>
        </w:tc>
        <w:tc>
          <w:tcPr>
            <w:tcW w:w="39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B06E80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Le corps les fabrique. Favoriser leur synthèse via les cofacteurs (Se, Zn, précurseurs GSH : NAC, glycine, cystéine)</w:t>
            </w:r>
          </w:p>
        </w:tc>
      </w:tr>
      <w:tr w:rsidR="004028ED" w:rsidRPr="003B75A4" w14:paraId="32FC78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BF0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BDCE6DF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E8835A"/>
                <w:sz w:val="21"/>
                <w:szCs w:val="21"/>
              </w:rPr>
              <w:t>Exogènes</w:t>
            </w:r>
          </w:p>
        </w:tc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BF0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491EF8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Vitamines A, C, E • Polyphénols • Carôtenïdes • Composés soufrés • Oligoéléments : Cu, Mn, Se, Zn</w:t>
            </w:r>
          </w:p>
        </w:tc>
        <w:tc>
          <w:tcPr>
            <w:tcW w:w="39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D9FB55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Alimentation ++ (fruits et légumes colorés, noix, céréales complètes) + complémentation ciblée si carence</w:t>
            </w:r>
          </w:p>
        </w:tc>
      </w:tr>
    </w:tbl>
    <w:p w14:paraId="1A9AA785" w14:textId="77777777" w:rsidR="004028ED" w:rsidRPr="003B75A4" w:rsidRDefault="004028ED">
      <w:pPr>
        <w:spacing w:before="120"/>
      </w:pPr>
    </w:p>
    <w:p w14:paraId="3A195F00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2E7D32"/>
          <w:sz w:val="23"/>
          <w:szCs w:val="23"/>
        </w:rPr>
        <w:t>C. Supplémentation antioxydante clé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26"/>
        <w:gridCol w:w="2500"/>
      </w:tblGrid>
      <w:tr w:rsidR="004028ED" w:rsidRPr="003B75A4" w14:paraId="0E6E1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A5E59FD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</w:t>
            </w:r>
          </w:p>
        </w:tc>
        <w:tc>
          <w:tcPr>
            <w:tcW w:w="41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0AF3AB2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Intérêt</w:t>
            </w:r>
          </w:p>
        </w:tc>
        <w:tc>
          <w:tcPr>
            <w:tcW w:w="25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D6B74D7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Posologie / Remarque</w:t>
            </w:r>
          </w:p>
        </w:tc>
      </w:tr>
      <w:tr w:rsidR="004028ED" w:rsidRPr="003B75A4" w14:paraId="38807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138A33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Acide α-lipoïque</w:t>
            </w:r>
          </w:p>
        </w:tc>
        <w:tc>
          <w:tcPr>
            <w:tcW w:w="4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4D9DD9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universel (hydro et liposoluble) • passe la BHE • régénère les autres antioxydants (vit C, E, glutathion)</w:t>
            </w:r>
          </w:p>
        </w:tc>
        <w:tc>
          <w:tcPr>
            <w:tcW w:w="2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517436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Selon le produit</w:t>
            </w:r>
          </w:p>
        </w:tc>
      </w:tr>
      <w:tr w:rsidR="004028ED" w:rsidRPr="003B75A4" w14:paraId="38CF3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3AD735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NAC (N-acétyl-cystéine)</w:t>
            </w:r>
          </w:p>
        </w:tc>
        <w:tc>
          <w:tcPr>
            <w:tcW w:w="4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02DF79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Précurseur du glutathion (GSH) • puissant antioxydant et anti-inflammatoire cérébral</w:t>
            </w:r>
          </w:p>
        </w:tc>
        <w:tc>
          <w:tcPr>
            <w:tcW w:w="2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E803DC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Selon le produit</w:t>
            </w:r>
          </w:p>
        </w:tc>
      </w:tr>
      <w:tr w:rsidR="004028ED" w:rsidRPr="003B75A4" w14:paraId="7D9C9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FA5CBD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Glutathion (GSH)</w:t>
            </w:r>
          </w:p>
        </w:tc>
        <w:tc>
          <w:tcPr>
            <w:tcW w:w="4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6892DF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endogène majeur. Privilégier forme liposomale ou précurseurs (NAC)</w:t>
            </w:r>
          </w:p>
        </w:tc>
        <w:tc>
          <w:tcPr>
            <w:tcW w:w="2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7B59ED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Selon le produit</w:t>
            </w:r>
          </w:p>
        </w:tc>
      </w:tr>
      <w:tr w:rsidR="004028ED" w:rsidRPr="003B75A4" w14:paraId="77C3C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33F74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CoQ10 (Ubiquinol)</w:t>
            </w:r>
          </w:p>
        </w:tc>
        <w:tc>
          <w:tcPr>
            <w:tcW w:w="4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0A376C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mitochondrial • essentiel à la production d’énergie (ATP) • prévient la dégénérescence mitochondriale</w:t>
            </w:r>
          </w:p>
        </w:tc>
        <w:tc>
          <w:tcPr>
            <w:tcW w:w="2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A108B7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Forme ubiquinol préférable</w:t>
            </w:r>
          </w:p>
        </w:tc>
      </w:tr>
      <w:tr w:rsidR="004028ED" w:rsidRPr="003B75A4" w14:paraId="370A5A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D206D7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Chélateurs métaux lourds</w:t>
            </w:r>
          </w:p>
        </w:tc>
        <w:tc>
          <w:tcPr>
            <w:tcW w:w="4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0148BC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Lier et éliminer les métaux neurotoxiques (Pb, Hg, Al…) qui génèrent des ROS et perturbent le repliement protéique</w:t>
            </w:r>
          </w:p>
        </w:tc>
        <w:tc>
          <w:tcPr>
            <w:tcW w:w="2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F44374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À adapter au profil du patient</w:t>
            </w:r>
          </w:p>
        </w:tc>
      </w:tr>
    </w:tbl>
    <w:p w14:paraId="4D1AE8F7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2E7D32"/>
          <w:sz w:val="23"/>
          <w:szCs w:val="23"/>
        </w:rPr>
        <w:t>D. Indice ORAC — aliments les plus antioxydants</w:t>
      </w:r>
    </w:p>
    <w:p w14:paraId="1C682918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t>L’indice ORAC (Oxygen Radical Absorbance Capacity) mesure la capacité antioxydante pour 100 g d’aliment. À privilégier dans l’alimentation quotidienne.</w:t>
      </w:r>
    </w:p>
    <w:p w14:paraId="62FD3DA1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1336"/>
        <w:gridCol w:w="2328"/>
        <w:gridCol w:w="3027"/>
      </w:tblGrid>
      <w:tr w:rsidR="004028ED" w:rsidRPr="003B75A4" w14:paraId="062E9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832475F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Aliment</w:t>
            </w:r>
          </w:p>
        </w:tc>
        <w:tc>
          <w:tcPr>
            <w:tcW w:w="11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BE8C0FC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ORAC/100g</w:t>
            </w:r>
          </w:p>
        </w:tc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B40433D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Aliment</w:t>
            </w:r>
          </w:p>
        </w:tc>
        <w:tc>
          <w:tcPr>
            <w:tcW w:w="31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B603DC6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ORAC/100g</w:t>
            </w:r>
          </w:p>
        </w:tc>
      </w:tr>
      <w:tr w:rsidR="004028ED" w:rsidRPr="003B75A4" w14:paraId="2B2AA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4F40FC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Chocolat noir</w:t>
            </w:r>
          </w:p>
        </w:tc>
        <w:tc>
          <w:tcPr>
            <w:tcW w:w="1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20DC5B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50 000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567E74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Cassis</w:t>
            </w:r>
          </w:p>
        </w:tc>
        <w:tc>
          <w:tcPr>
            <w:tcW w:w="3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E21A10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7 960</w:t>
            </w:r>
          </w:p>
        </w:tc>
      </w:tr>
      <w:tr w:rsidR="004028ED" w:rsidRPr="003B75A4" w14:paraId="6B182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E16C03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Noix de pécan</w:t>
            </w:r>
          </w:p>
        </w:tc>
        <w:tc>
          <w:tcPr>
            <w:tcW w:w="1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9D9F41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17 940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9763A4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Pomme rouge</w:t>
            </w:r>
          </w:p>
        </w:tc>
        <w:tc>
          <w:tcPr>
            <w:tcW w:w="3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7A75FE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4 275</w:t>
            </w:r>
          </w:p>
        </w:tc>
      </w:tr>
      <w:tr w:rsidR="004028ED" w:rsidRPr="003B75A4" w14:paraId="7F97A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829D51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Gingembre</w:t>
            </w:r>
          </w:p>
        </w:tc>
        <w:tc>
          <w:tcPr>
            <w:tcW w:w="1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7E18D8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14 840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2FF65A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Chou frisé</w:t>
            </w:r>
          </w:p>
        </w:tc>
        <w:tc>
          <w:tcPr>
            <w:tcW w:w="3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AEADFC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3 825</w:t>
            </w:r>
          </w:p>
        </w:tc>
      </w:tr>
      <w:tr w:rsidR="004028ED" w:rsidRPr="003B75A4" w14:paraId="28E629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8C7A14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Prune</w:t>
            </w:r>
          </w:p>
        </w:tc>
        <w:tc>
          <w:tcPr>
            <w:tcW w:w="1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D83824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6 259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928C08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Betterave</w:t>
            </w:r>
          </w:p>
        </w:tc>
        <w:tc>
          <w:tcPr>
            <w:tcW w:w="3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B6E7E0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1 767</w:t>
            </w:r>
          </w:p>
        </w:tc>
      </w:tr>
      <w:tr w:rsidR="004028ED" w:rsidRPr="003B75A4" w14:paraId="4D157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0D9250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Ail (1 gousse)</w:t>
            </w:r>
          </w:p>
        </w:tc>
        <w:tc>
          <w:tcPr>
            <w:tcW w:w="1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56ED90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5 346</w:t>
            </w:r>
          </w:p>
        </w:tc>
        <w:tc>
          <w:tcPr>
            <w:tcW w:w="2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887FC8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Myrtilles*</w:t>
            </w:r>
          </w:p>
        </w:tc>
        <w:tc>
          <w:tcPr>
            <w:tcW w:w="31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3F019A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Très élevé</w:t>
            </w:r>
          </w:p>
        </w:tc>
      </w:tr>
    </w:tbl>
    <w:p w14:paraId="4CC18011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lastRenderedPageBreak/>
        <w:t>* Les myrtilles (Vaccinium myrtillus) sont particulièrement intéressantes : anthocyanosides et polyphenols → effets neuroprotecteurs, anti-inflammatoires, antioxydants.</w:t>
      </w:r>
    </w:p>
    <w:p w14:paraId="1A864D87" w14:textId="77777777" w:rsidR="00AC0BB0" w:rsidRDefault="00AC0BB0" w:rsidP="006D6473"/>
    <w:p w14:paraId="5ABDBC06" w14:textId="1D066CBD" w:rsidR="004028ED" w:rsidRPr="003B75A4" w:rsidRDefault="00AC0BB0" w:rsidP="006D6473">
      <w:r w:rsidRPr="003B75A4">
        <w:rPr>
          <w:b/>
          <w:bCs/>
          <w:color w:val="B45309"/>
          <w:sz w:val="26"/>
          <w:szCs w:val="26"/>
        </w:rPr>
        <w:t>Axe 4 — Moduler la neuroinflammation</w:t>
      </w:r>
    </w:p>
    <w:p w14:paraId="3BE32B6A" w14:textId="77777777" w:rsidR="004028ED" w:rsidRPr="003B75A4" w:rsidRDefault="00AC0BB0">
      <w:pPr>
        <w:spacing w:before="55" w:after="55"/>
      </w:pPr>
      <w:r w:rsidRPr="003B75A4">
        <w:rPr>
          <w:b/>
          <w:bCs/>
          <w:color w:val="B45309"/>
        </w:rPr>
        <w:t xml:space="preserve">Objectif : </w:t>
      </w:r>
      <w:r w:rsidRPr="003B75A4">
        <w:t>réguler l’activation de la microglie, réduire les cytokines pro-inflammatoires, protéger la BHE.</w:t>
      </w:r>
    </w:p>
    <w:p w14:paraId="1505574E" w14:textId="77777777" w:rsidR="004028ED" w:rsidRPr="003B75A4" w:rsidRDefault="004028ED">
      <w:pPr>
        <w:spacing w:before="80"/>
      </w:pPr>
    </w:p>
    <w:p w14:paraId="08F2FDFE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B45309"/>
          <w:sz w:val="23"/>
          <w:szCs w:val="23"/>
        </w:rPr>
        <w:t>A. Phytothérapie et extraits naturels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028ED" w:rsidRPr="003B75A4" w14:paraId="7B274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D06A4A8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 / Plante</w:t>
            </w:r>
          </w:p>
        </w:tc>
        <w:tc>
          <w:tcPr>
            <w:tcW w:w="62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2E7A164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Mécanismes d’action sur la neuroinflammation</w:t>
            </w:r>
          </w:p>
        </w:tc>
      </w:tr>
      <w:tr w:rsidR="004028ED" w:rsidRPr="003B75A4" w14:paraId="52C2A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C52C57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Resvératrol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E6DBB9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Régule les mécanismes inflammatoires du SN • diminue la perméabilité de la BHE aux agents inflammatoires • améliore les fonctions de mémorisation. Agit aussi sur MCV, cancérogénèse, sarcopenie, ostéoporose.</w:t>
            </w:r>
          </w:p>
        </w:tc>
      </w:tr>
      <w:tr w:rsidR="004028ED" w:rsidRPr="003B75A4" w14:paraId="288E7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0D4D65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Romarin (Rosmarinus officinalis)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02EA57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Puissant anti-inflammatoire et neuroprotecteur • diminue les cytokines inflammatoires dans l’hippocampe • soutient la fonction hépatique (formation de plasmalogènes = phospholipides clés du cerveau)</w:t>
            </w:r>
          </w:p>
        </w:tc>
      </w:tr>
      <w:tr w:rsidR="004028ED" w:rsidRPr="003B75A4" w14:paraId="457EBC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786B1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Datte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2B0D8E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Réduit les cytokines inflammatoires cérébrales • contribue à réduire l’inflammation induite par les protéines β-amyloïdes (Alzheimer)</w:t>
            </w:r>
          </w:p>
        </w:tc>
      </w:tr>
      <w:tr w:rsidR="004028ED" w:rsidRPr="003B75A4" w14:paraId="100A45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22150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Astaxanthine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88E8ED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puissant • limite la peroxydation lipidique mitochondriale • réduit les dommages oxydatifs cérébraux</w:t>
            </w:r>
          </w:p>
        </w:tc>
      </w:tr>
      <w:tr w:rsidR="004028ED" w:rsidRPr="003B75A4" w14:paraId="53A63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51B8A6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Ginkgo biloba (ginkgolides)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C98F97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Augmente le captage de glucose et d’oxygène par le cerveau • active le métabolisme cortical • action sur la neurovascularisation. Dose max acide ginkgolique : 0,6 μg/j</w:t>
            </w:r>
          </w:p>
        </w:tc>
      </w:tr>
      <w:tr w:rsidR="004028ED" w:rsidRPr="003B75A4" w14:paraId="389E8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E92DC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Centella asiatica</w:t>
            </w:r>
          </w:p>
        </w:tc>
        <w:tc>
          <w:tcPr>
            <w:tcW w:w="6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E8DFFE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Améliore la mémoire et l’apprentissage • stimule la croissance dendritique neuronale • potentialités dans Alzheimer</w:t>
            </w:r>
          </w:p>
        </w:tc>
      </w:tr>
    </w:tbl>
    <w:p w14:paraId="343DBA39" w14:textId="77777777" w:rsidR="004028ED" w:rsidRPr="003B75A4" w:rsidRDefault="004028ED">
      <w:pPr>
        <w:spacing w:before="120"/>
      </w:pPr>
    </w:p>
    <w:p w14:paraId="3F1DF712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B45309"/>
          <w:sz w:val="23"/>
          <w:szCs w:val="23"/>
        </w:rPr>
        <w:t>B. Aromatheréapie : sauge, lavande, romarin</w:t>
      </w:r>
    </w:p>
    <w:p w14:paraId="7B9C499F" w14:textId="77777777" w:rsidR="004028ED" w:rsidRPr="003B75A4" w:rsidRDefault="00AC0BB0">
      <w:pPr>
        <w:spacing w:before="55" w:after="55"/>
      </w:pPr>
      <w:r w:rsidRPr="003B75A4">
        <w:t xml:space="preserve">Ces trois herbes aromatiques exercent des </w:t>
      </w:r>
      <w:r w:rsidRPr="003B75A4">
        <w:rPr>
          <w:b/>
          <w:bCs/>
          <w:color w:val="B45309"/>
        </w:rPr>
        <w:t>effets neuroprotecteurs</w:t>
      </w:r>
      <w:r w:rsidRPr="003B75A4">
        <w:t xml:space="preserve"> en agissant sur plusieurs mécanismes simultanément.</w:t>
      </w:r>
    </w:p>
    <w:p w14:paraId="35C16208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028ED" w:rsidRPr="003B75A4" w14:paraId="671BD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6DA9DC1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58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BE2CE95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Détail</w:t>
            </w:r>
          </w:p>
        </w:tc>
      </w:tr>
      <w:tr w:rsidR="004028ED" w:rsidRPr="003B75A4" w14:paraId="3D1F3B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25F1D0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Augmentation des neurotransmetteurs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5E8555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Soutien de la neurotransmission cholinergique et dopaminergique</w:t>
            </w:r>
          </w:p>
        </w:tc>
      </w:tr>
      <w:tr w:rsidR="004028ED" w:rsidRPr="003B75A4" w14:paraId="381A12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2296E5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Augmentation des antioxydants cérébraux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A7BBD4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Activation de la voie NRF2 → production des défenses antioxydantes</w:t>
            </w:r>
          </w:p>
        </w:tc>
      </w:tr>
      <w:tr w:rsidR="004028ED" w:rsidRPr="003B75A4" w14:paraId="1FFB0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B504EE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Activation ERK/CREB/BDNF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2EF437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Voie de la neuroprotection et de la mémorisation. BDNF = facteur neurotrophique dérivé du cerveau</w:t>
            </w:r>
          </w:p>
        </w:tc>
      </w:tr>
      <w:tr w:rsidR="004028ED" w:rsidRPr="003B75A4" w14:paraId="2F535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D03C20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Inhibition de la β-amyloïde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4377A1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Réduction de l’agrégation des plaques (Alzheimer)</w:t>
            </w:r>
          </w:p>
        </w:tc>
      </w:tr>
      <w:tr w:rsidR="004028ED" w:rsidRPr="003B75A4" w14:paraId="3811FC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ED745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lastRenderedPageBreak/>
              <w:t>Inhibition des cytokines pro-inflam.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294230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Réduction de TNF-α, IL-1β, IL-6 (microglie, astrocytes)</w:t>
            </w:r>
          </w:p>
        </w:tc>
      </w:tr>
      <w:tr w:rsidR="004028ED" w:rsidRPr="003B75A4" w14:paraId="0E3A04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507CCA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Inhibition de l’AChE</w:t>
            </w:r>
          </w:p>
        </w:tc>
        <w:tc>
          <w:tcPr>
            <w:tcW w:w="5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74286C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Préservation de l’acétylcholine dans la fente synaptique (comme l’huperzine A)</w:t>
            </w:r>
          </w:p>
        </w:tc>
      </w:tr>
    </w:tbl>
    <w:p w14:paraId="62BAF6B6" w14:textId="77777777" w:rsidR="004028ED" w:rsidRPr="003B75A4" w:rsidRDefault="004028ED">
      <w:pPr>
        <w:spacing w:before="120"/>
      </w:pPr>
    </w:p>
    <w:p w14:paraId="39978B98" w14:textId="77777777" w:rsidR="004028ED" w:rsidRPr="003B75A4" w:rsidRDefault="00AC0BB0">
      <w:pPr>
        <w:spacing w:before="180" w:after="70"/>
      </w:pPr>
      <w:r w:rsidRPr="003B75A4">
        <w:rPr>
          <w:b/>
          <w:bCs/>
          <w:color w:val="B45309"/>
          <w:sz w:val="23"/>
          <w:szCs w:val="23"/>
        </w:rPr>
        <w:t>C. Axe intestin-cerveau : optimiser le microbiote</w:t>
      </w:r>
    </w:p>
    <w:p w14:paraId="05D31A24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t>La dysbiose intestinale alimente la neuroinflammation via l’axe microbiote-intestin-cerveau (nerf vague, cytokines, LPS…).</w:t>
      </w:r>
    </w:p>
    <w:p w14:paraId="0E9E9B57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028ED" w:rsidRPr="003B75A4" w14:paraId="39550D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5BA1E49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Objectif</w:t>
            </w:r>
          </w:p>
        </w:tc>
        <w:tc>
          <w:tcPr>
            <w:tcW w:w="6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028D3E1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Moyens</w:t>
            </w:r>
          </w:p>
        </w:tc>
      </w:tr>
      <w:tr w:rsidR="004028ED" w:rsidRPr="003B75A4" w14:paraId="45444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5E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F01E128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B45309"/>
                <w:sz w:val="20"/>
                <w:szCs w:val="20"/>
              </w:rPr>
              <w:t>Optimiser le microbiote et la barrière intestinale</w:t>
            </w:r>
          </w:p>
        </w:tc>
        <w:tc>
          <w:tcPr>
            <w:tcW w:w="6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62785C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L-Glutamine gastro-résistante • n-Butyrate (aussi anti-inflammatoire cérébral) • Prébiotiques + Probiotiques ciblés</w:t>
            </w:r>
          </w:p>
        </w:tc>
      </w:tr>
      <w:tr w:rsidR="004028ED" w:rsidRPr="003B75A4" w14:paraId="446F7D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7DAEE34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B45309"/>
                <w:sz w:val="20"/>
                <w:szCs w:val="20"/>
              </w:rPr>
              <w:t>Optimiser les étapes de la digestion</w:t>
            </w:r>
          </w:p>
        </w:tc>
        <w:tc>
          <w:tcPr>
            <w:tcW w:w="6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4F13447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Supplément en enzymes digestives • Favorise l’assimilation des micronutriments neuroprotecteurs</w:t>
            </w:r>
          </w:p>
        </w:tc>
      </w:tr>
      <w:tr w:rsidR="004028ED" w:rsidRPr="003B75A4" w14:paraId="0C0B3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5E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42EA56B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B45309"/>
                <w:sz w:val="20"/>
                <w:szCs w:val="20"/>
              </w:rPr>
              <w:t>Apporter les micronutriments de la muqueuse</w:t>
            </w:r>
          </w:p>
        </w:tc>
        <w:tc>
          <w:tcPr>
            <w:tcW w:w="64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C8CAE66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Zinc, Vitamines A, B9, D • Thréonine (acide aminé constitutif du mucus) • Magnésium</w:t>
            </w:r>
          </w:p>
        </w:tc>
      </w:tr>
    </w:tbl>
    <w:p w14:paraId="59EC425C" w14:textId="77777777" w:rsidR="00AC0BB0" w:rsidRDefault="00AC0BB0" w:rsidP="00AC0BB0"/>
    <w:p w14:paraId="36E1892E" w14:textId="5AA07D1A" w:rsidR="004028ED" w:rsidRPr="003B75A4" w:rsidRDefault="00AC0BB0" w:rsidP="00AC0BB0">
      <w:r w:rsidRPr="003B75A4">
        <w:rPr>
          <w:b/>
          <w:bCs/>
          <w:color w:val="4B3F8F"/>
          <w:sz w:val="26"/>
          <w:szCs w:val="26"/>
        </w:rPr>
        <w:t>Récapitulatif général — Protocole en un coup d’œil</w:t>
      </w:r>
    </w:p>
    <w:p w14:paraId="05586A87" w14:textId="77777777" w:rsidR="004028ED" w:rsidRPr="003B75A4" w:rsidRDefault="004028ED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2374"/>
        <w:gridCol w:w="4638"/>
      </w:tblGrid>
      <w:tr w:rsidR="004028ED" w:rsidRPr="003B75A4" w14:paraId="64CC72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BFB7517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Axe</w:t>
            </w:r>
          </w:p>
        </w:tc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8C7C819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Cible</w:t>
            </w:r>
          </w:p>
        </w:tc>
        <w:tc>
          <w:tcPr>
            <w:tcW w:w="48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35451A1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Molécules / Interventions principales</w:t>
            </w:r>
          </w:p>
        </w:tc>
      </w:tr>
      <w:tr w:rsidR="004028ED" w:rsidRPr="003B75A4" w14:paraId="7F85A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7A6E"/>
              <w:left w:val="single" w:sz="4" w:space="0" w:color="1B7A6E"/>
              <w:bottom w:val="single" w:sz="4" w:space="0" w:color="1B7A6E"/>
              <w:right w:val="single" w:sz="4" w:space="0" w:color="1B7A6E"/>
            </w:tcBorders>
            <w:shd w:val="clear" w:color="auto" w:fill="1B7A6E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1253FFCB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0"/>
                <w:szCs w:val="20"/>
              </w:rPr>
              <w:t>Axe 1 Neurogenèse</w:t>
            </w:r>
          </w:p>
        </w:tc>
        <w:tc>
          <w:tcPr>
            <w:tcW w:w="2400" w:type="dxa"/>
            <w:tcBorders>
              <w:top w:val="single" w:sz="4" w:space="0" w:color="1B7A6E"/>
              <w:left w:val="single" w:sz="4" w:space="0" w:color="1B7A6E"/>
              <w:bottom w:val="single" w:sz="4" w:space="0" w:color="1B7A6E"/>
              <w:right w:val="single" w:sz="4" w:space="0" w:color="1B7A6E"/>
            </w:tcBorders>
            <w:shd w:val="clear" w:color="auto" w:fill="E2F4F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B88BD6D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1B7A6E"/>
                <w:sz w:val="20"/>
                <w:szCs w:val="20"/>
              </w:rPr>
              <w:t xml:space="preserve">Stimuler la </w:t>
            </w:r>
            <w:r w:rsidRPr="003B75A4">
              <w:rPr>
                <w:b/>
                <w:bCs/>
                <w:color w:val="1B7A6E"/>
                <w:sz w:val="20"/>
                <w:szCs w:val="20"/>
              </w:rPr>
              <w:t>réparation neuronale</w:t>
            </w:r>
          </w:p>
        </w:tc>
        <w:tc>
          <w:tcPr>
            <w:tcW w:w="4826" w:type="dxa"/>
            <w:tcBorders>
              <w:top w:val="single" w:sz="4" w:space="0" w:color="1B7A6E"/>
              <w:left w:val="single" w:sz="4" w:space="0" w:color="1B7A6E"/>
              <w:bottom w:val="single" w:sz="4" w:space="0" w:color="1B7A6E"/>
              <w:right w:val="single" w:sz="4" w:space="0" w:color="1B7A6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7D7DEA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Phosphatidylsérine • Hydne Hérisson (NGF) • Polygala • Sélénium (Tau) • Iode (myéline) • Bacopa • Guarana</w:t>
            </w:r>
          </w:p>
        </w:tc>
      </w:tr>
      <w:tr w:rsidR="004028ED" w:rsidRPr="003B75A4" w14:paraId="28694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57C81BD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0"/>
                <w:szCs w:val="20"/>
              </w:rPr>
              <w:t>Axe 2 Neurotransmission</w:t>
            </w:r>
          </w:p>
        </w:tc>
        <w:tc>
          <w:tcPr>
            <w:tcW w:w="2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489F69E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4B3F8F"/>
                <w:sz w:val="20"/>
                <w:szCs w:val="20"/>
              </w:rPr>
              <w:t>Recharger les neurotransmetteurs</w:t>
            </w:r>
          </w:p>
        </w:tc>
        <w:tc>
          <w:tcPr>
            <w:tcW w:w="48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BC6E5C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Ach : Phosphatidylcholine + Huperzine A DA : L-Tyrosine + Vit C liposomale GABA : Zinc + Magnésium + AGPI (EPA/DHA)</w:t>
            </w:r>
          </w:p>
        </w:tc>
      </w:tr>
      <w:tr w:rsidR="004028ED" w:rsidRPr="003B75A4" w14:paraId="5C18CE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69AC7800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0"/>
                <w:szCs w:val="20"/>
              </w:rPr>
              <w:t>Axe 3 Antioxydants</w:t>
            </w:r>
          </w:p>
        </w:tc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AF5EA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8848F37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2E7D32"/>
                <w:sz w:val="20"/>
                <w:szCs w:val="20"/>
              </w:rPr>
              <w:t>Neutraliser les ROS et le stress ox.</w:t>
            </w:r>
          </w:p>
        </w:tc>
        <w:tc>
          <w:tcPr>
            <w:tcW w:w="4826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076E41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SOD (Zn, Cu, Mn) • CAT (Fe) • GPx (Se) • Glutathion • NAC • CoQ10 • Ac. α-lipoïque • Vit A, C, E • Polyphenols • Chélateurs métaux</w:t>
            </w:r>
          </w:p>
        </w:tc>
      </w:tr>
      <w:tr w:rsidR="004028ED" w:rsidRPr="003B75A4" w14:paraId="1DBA12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3EC33C49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0"/>
                <w:szCs w:val="20"/>
              </w:rPr>
              <w:t>Axe 4 Neuroinflammation</w:t>
            </w:r>
          </w:p>
        </w:tc>
        <w:tc>
          <w:tcPr>
            <w:tcW w:w="240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5E7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2EC88DF" w14:textId="77777777" w:rsidR="004028ED" w:rsidRPr="003B75A4" w:rsidRDefault="00AC0BB0">
            <w:pPr>
              <w:spacing w:before="30" w:after="30"/>
            </w:pPr>
            <w:r w:rsidRPr="003B75A4">
              <w:rPr>
                <w:b/>
                <w:bCs/>
                <w:color w:val="B45309"/>
                <w:sz w:val="20"/>
                <w:szCs w:val="20"/>
              </w:rPr>
              <w:t>Calmer la microglie et protéger la BHE</w:t>
            </w:r>
          </w:p>
        </w:tc>
        <w:tc>
          <w:tcPr>
            <w:tcW w:w="4826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74BB06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Resvératrol • Romarin • Sauge • Lavande • Astaxanthine • Datte • Ginkgo biloba • Centella asiatica Microbiote : L-Glutamine • n-Butyrate • Probiotiques</w:t>
            </w:r>
          </w:p>
        </w:tc>
      </w:tr>
    </w:tbl>
    <w:p w14:paraId="066FA6E7" w14:textId="77777777" w:rsidR="004028ED" w:rsidRPr="003B75A4" w:rsidRDefault="004028ED">
      <w:pPr>
        <w:spacing w:before="120"/>
      </w:pPr>
    </w:p>
    <w:p w14:paraId="0462A564" w14:textId="77777777" w:rsidR="004028ED" w:rsidRPr="003B75A4" w:rsidRDefault="00AC0BB0">
      <w:pPr>
        <w:pBdr>
          <w:bottom w:val="single" w:sz="10" w:space="4" w:color="E8835A"/>
        </w:pBdr>
        <w:spacing w:before="260" w:after="100"/>
      </w:pPr>
      <w:r w:rsidRPr="003B75A4">
        <w:rPr>
          <w:b/>
          <w:bCs/>
          <w:color w:val="4B3F8F"/>
          <w:sz w:val="26"/>
          <w:szCs w:val="26"/>
        </w:rPr>
        <w:t>Vitamines essentielles et ANC pour la personne âgée</w:t>
      </w:r>
    </w:p>
    <w:p w14:paraId="576FAD04" w14:textId="77777777" w:rsidR="004028ED" w:rsidRPr="003B75A4" w:rsidRDefault="00AC0BB0">
      <w:pPr>
        <w:spacing w:before="55" w:after="55"/>
      </w:pPr>
      <w:r w:rsidRPr="003B75A4">
        <w:rPr>
          <w:i/>
          <w:iCs/>
        </w:rPr>
        <w:t>Les déficits vitaminiques sont fréquents chez la personne âgée et aggravent les MND. Connaître les ANC et les rôles clés est indispensable.</w:t>
      </w:r>
    </w:p>
    <w:p w14:paraId="724D5B6D" w14:textId="77777777" w:rsidR="004028ED" w:rsidRPr="003B75A4" w:rsidRDefault="004028E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5526"/>
      </w:tblGrid>
      <w:tr w:rsidR="004028ED" w:rsidRPr="003B75A4" w14:paraId="7CEBB5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CB950CC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lastRenderedPageBreak/>
              <w:t>Vitamine</w:t>
            </w:r>
          </w:p>
        </w:tc>
        <w:tc>
          <w:tcPr>
            <w:tcW w:w="21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C5D60AE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ANC (&gt;75 ans)</w:t>
            </w:r>
          </w:p>
        </w:tc>
        <w:tc>
          <w:tcPr>
            <w:tcW w:w="55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5529A05" w14:textId="77777777" w:rsidR="004028ED" w:rsidRPr="003B75A4" w:rsidRDefault="00AC0BB0">
            <w:pPr>
              <w:jc w:val="center"/>
            </w:pPr>
            <w:r w:rsidRPr="003B75A4">
              <w:rPr>
                <w:b/>
                <w:bCs/>
                <w:color w:val="FFFFFF"/>
                <w:sz w:val="21"/>
                <w:szCs w:val="21"/>
              </w:rPr>
              <w:t>Rôle clé pour les MND</w:t>
            </w:r>
          </w:p>
        </w:tc>
      </w:tr>
      <w:tr w:rsidR="004028ED" w:rsidRPr="003B75A4" w14:paraId="4EFCF4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99D759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8B5EAB8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600 μg/j (F) / 700 μg/j (H)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5FA50D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• Protection des membranes cellulaires (caroténoïdes)</w:t>
            </w:r>
          </w:p>
        </w:tc>
      </w:tr>
      <w:tr w:rsidR="004028ED" w:rsidRPr="003B75A4" w14:paraId="4A72EC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94506C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8226C5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120 mg/j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BA23FB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majeur • Synthèse dopamine (tyrosine hydroxylase) • Régénère la vit E et le glutathion</w:t>
            </w:r>
          </w:p>
        </w:tc>
      </w:tr>
      <w:tr w:rsidR="004028ED" w:rsidRPr="003B75A4" w14:paraId="272B62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5DE49D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D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BC46B5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10–15 μg/j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957C4F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Hormone calciotrope • Neuroprotection • Stimule GDNF et BDNF (facteurs neurotrophiques) • Anti-inflammatoire (NRF2)</w:t>
            </w:r>
          </w:p>
        </w:tc>
      </w:tr>
      <w:tr w:rsidR="004028ED" w:rsidRPr="003B75A4" w14:paraId="27175B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7E6D2B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E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B2EF35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20–50 mg/j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33B5ACD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Antioxydant liposoluble • Protecteur des membranes neuronales • Carence → syndrome neurodégénératif</w:t>
            </w:r>
          </w:p>
        </w:tc>
      </w:tr>
      <w:tr w:rsidR="004028ED" w:rsidRPr="003B75A4" w14:paraId="3A176D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2B1A20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B1 Thiamine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E96215A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1,1–1,3 mg/j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08A70D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Métabolisme du glucose neuronal • Carence → Béri-béri (rare)</w:t>
            </w:r>
          </w:p>
        </w:tc>
      </w:tr>
      <w:tr w:rsidR="004028ED" w:rsidRPr="003B75A4" w14:paraId="771217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FDF03B1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B3 Niacine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99D648F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11–14 mg/j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2791D3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Précurseur du NAD (coenzyme d’oxydo-réduction) • Carence → Pellagre (démence, dermatose)</w:t>
            </w:r>
          </w:p>
        </w:tc>
      </w:tr>
      <w:tr w:rsidR="004028ED" w:rsidRPr="003B75A4" w14:paraId="769AC4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C12FD0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B6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F816B94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2,2 mg/j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308E08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Coenzyme • Métabolisme des acides aminés (précurseurs NT) • Synthèse GABA (décarboxylase)</w:t>
            </w:r>
          </w:p>
        </w:tc>
      </w:tr>
      <w:tr w:rsidR="004028ED" w:rsidRPr="003B75A4" w14:paraId="55F21B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A6F8A6E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B9 Folates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41E7435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300–400 μg/j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F5CCB5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Métabolisme des acides aminés • Synthèse des bases azotées</w:t>
            </w:r>
          </w:p>
        </w:tc>
      </w:tr>
      <w:tr w:rsidR="004028ED" w:rsidRPr="003B75A4" w14:paraId="6D0C94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405B0F2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B12 Cobalamines</w:t>
            </w:r>
          </w:p>
        </w:tc>
        <w:tc>
          <w:tcPr>
            <w:tcW w:w="21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9621639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3 μg/j</w:t>
            </w:r>
          </w:p>
        </w:tc>
        <w:tc>
          <w:tcPr>
            <w:tcW w:w="55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2FB482C" w14:textId="77777777" w:rsidR="004028ED" w:rsidRPr="003B75A4" w:rsidRDefault="00AC0BB0">
            <w:pPr>
              <w:spacing w:before="30" w:after="30"/>
            </w:pPr>
            <w:r w:rsidRPr="003B75A4">
              <w:rPr>
                <w:sz w:val="20"/>
                <w:szCs w:val="20"/>
              </w:rPr>
              <w:t>Transfert de groupement méthyle • Myélinisation • Carence fréquente chez la PA → troubles cognitifs</w:t>
            </w:r>
          </w:p>
        </w:tc>
      </w:tr>
    </w:tbl>
    <w:p w14:paraId="1698AF49" w14:textId="77777777" w:rsidR="004028ED" w:rsidRPr="003B75A4" w:rsidRDefault="004028ED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028ED" w:rsidRPr="003B75A4" w14:paraId="568C7C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E8835A"/>
              <w:left w:val="single" w:sz="24" w:space="0" w:color="E8835A"/>
              <w:bottom w:val="single" w:sz="4" w:space="0" w:color="E8835A"/>
              <w:right w:val="single" w:sz="4" w:space="0" w:color="E8835A"/>
            </w:tcBorders>
            <w:shd w:val="clear" w:color="auto" w:fill="FB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94108" w14:textId="77777777" w:rsidR="004028ED" w:rsidRPr="003B75A4" w:rsidRDefault="00AC0BB0">
            <w:pPr>
              <w:spacing w:before="40" w:after="40"/>
            </w:pPr>
            <w:r w:rsidRPr="003B75A4">
              <w:rPr>
                <w:b/>
                <w:bCs/>
                <w:color w:val="E8835A"/>
              </w:rPr>
              <w:t xml:space="preserve">  Les 5 à retenir absolument pour l’examen</w:t>
            </w:r>
          </w:p>
          <w:p w14:paraId="7E90D4FA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1. Le protocole cible 4 axes : neurogenèse • neurotransmission • antioxydants • neuroinflammation.</w:t>
            </w:r>
          </w:p>
          <w:p w14:paraId="15476B71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2. Les antioxydants endogènes (SOD, CAT, GPx, GSH) sont plus efficaces que les exogènes → favoriser leurs cofacteurs.</w:t>
            </w:r>
          </w:p>
          <w:p w14:paraId="6FF181D3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3. Le microbiote est un levier indirect sur la neuroinflammation via l’axe intestin-cerveau.</w:t>
            </w:r>
          </w:p>
          <w:p w14:paraId="1F0E6933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4. La sauge, lavande et romarin ont un potentiel neuroprotecteur multi-cibles prouvé.</w:t>
            </w:r>
          </w:p>
          <w:p w14:paraId="06E69270" w14:textId="77777777" w:rsidR="004028ED" w:rsidRPr="003B75A4" w:rsidRDefault="00AC0BB0">
            <w:pPr>
              <w:spacing w:before="28" w:after="28"/>
            </w:pPr>
            <w:r w:rsidRPr="003B75A4">
              <w:rPr>
                <w:sz w:val="21"/>
                <w:szCs w:val="21"/>
              </w:rPr>
              <w:t xml:space="preserve">  5. La prévention passe par 4 piliers transversaux : alimentation • exercice • sommeil • gestion du stress.</w:t>
            </w:r>
          </w:p>
        </w:tc>
      </w:tr>
    </w:tbl>
    <w:p w14:paraId="667FBC63" w14:textId="77777777" w:rsidR="004028ED" w:rsidRPr="003B75A4" w:rsidRDefault="004028ED">
      <w:pPr>
        <w:spacing w:before="120"/>
      </w:pPr>
    </w:p>
    <w:p w14:paraId="4D6B0E9C" w14:textId="77777777" w:rsidR="004028ED" w:rsidRPr="003B75A4" w:rsidRDefault="00AC0BB0">
      <w:pPr>
        <w:jc w:val="center"/>
      </w:pPr>
      <w:r w:rsidRPr="003B75A4">
        <w:rPr>
          <w:i/>
          <w:iCs/>
          <w:color w:val="E8835A"/>
          <w:sz w:val="20"/>
          <w:szCs w:val="20"/>
        </w:rPr>
        <w:t>ESN — Module 10 — Pascale Faivre — Mars 2026</w:t>
      </w:r>
    </w:p>
    <w:sectPr w:rsidR="004028ED" w:rsidRPr="003B75A4" w:rsidSect="00754E6A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672E6" w14:textId="77777777" w:rsidR="00754E6A" w:rsidRDefault="00754E6A" w:rsidP="00754E6A">
      <w:r>
        <w:separator/>
      </w:r>
    </w:p>
  </w:endnote>
  <w:endnote w:type="continuationSeparator" w:id="0">
    <w:p w14:paraId="1A381344" w14:textId="77777777" w:rsidR="00754E6A" w:rsidRDefault="00754E6A" w:rsidP="0075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12330738"/>
      <w:docPartObj>
        <w:docPartGallery w:val="Page Numbers (Bottom of Page)"/>
        <w:docPartUnique/>
      </w:docPartObj>
    </w:sdtPr>
    <w:sdtContent>
      <w:p w14:paraId="693B670F" w14:textId="045455E4" w:rsidR="00125C4C" w:rsidRDefault="00125C4C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B20F2F8" w14:textId="77777777" w:rsidR="00125C4C" w:rsidRDefault="00125C4C" w:rsidP="00125C4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02777102"/>
      <w:docPartObj>
        <w:docPartGallery w:val="Page Numbers (Bottom of Page)"/>
        <w:docPartUnique/>
      </w:docPartObj>
    </w:sdtPr>
    <w:sdtContent>
      <w:p w14:paraId="256162C8" w14:textId="182C080A" w:rsidR="00125C4C" w:rsidRDefault="00125C4C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11</w:t>
        </w:r>
        <w:r>
          <w:rPr>
            <w:rStyle w:val="Numrodepage"/>
          </w:rPr>
          <w:fldChar w:fldCharType="end"/>
        </w:r>
      </w:p>
    </w:sdtContent>
  </w:sdt>
  <w:p w14:paraId="10BE3BE7" w14:textId="77777777" w:rsidR="00125C4C" w:rsidRDefault="00125C4C" w:rsidP="00125C4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66AC" w14:textId="77777777" w:rsidR="00754E6A" w:rsidRDefault="00754E6A" w:rsidP="00754E6A">
      <w:r>
        <w:separator/>
      </w:r>
    </w:p>
  </w:footnote>
  <w:footnote w:type="continuationSeparator" w:id="0">
    <w:p w14:paraId="40532FC6" w14:textId="77777777" w:rsidR="00754E6A" w:rsidRDefault="00754E6A" w:rsidP="00754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3A98"/>
    <w:multiLevelType w:val="hybridMultilevel"/>
    <w:tmpl w:val="FFFFFFFF"/>
    <w:lvl w:ilvl="0" w:tplc="5414D984">
      <w:start w:val="1"/>
      <w:numFmt w:val="bullet"/>
      <w:lvlText w:val="●"/>
      <w:lvlJc w:val="left"/>
      <w:pPr>
        <w:ind w:left="720" w:hanging="360"/>
      </w:pPr>
    </w:lvl>
    <w:lvl w:ilvl="1" w:tplc="1B18EC2E">
      <w:start w:val="1"/>
      <w:numFmt w:val="bullet"/>
      <w:lvlText w:val="○"/>
      <w:lvlJc w:val="left"/>
      <w:pPr>
        <w:ind w:left="1440" w:hanging="360"/>
      </w:pPr>
    </w:lvl>
    <w:lvl w:ilvl="2" w:tplc="4F6E8502">
      <w:start w:val="1"/>
      <w:numFmt w:val="bullet"/>
      <w:lvlText w:val="■"/>
      <w:lvlJc w:val="left"/>
      <w:pPr>
        <w:ind w:left="2160" w:hanging="360"/>
      </w:pPr>
    </w:lvl>
    <w:lvl w:ilvl="3" w:tplc="2A521426">
      <w:start w:val="1"/>
      <w:numFmt w:val="bullet"/>
      <w:lvlText w:val="●"/>
      <w:lvlJc w:val="left"/>
      <w:pPr>
        <w:ind w:left="2880" w:hanging="360"/>
      </w:pPr>
    </w:lvl>
    <w:lvl w:ilvl="4" w:tplc="706EA0B6">
      <w:start w:val="1"/>
      <w:numFmt w:val="bullet"/>
      <w:lvlText w:val="○"/>
      <w:lvlJc w:val="left"/>
      <w:pPr>
        <w:ind w:left="3600" w:hanging="360"/>
      </w:pPr>
    </w:lvl>
    <w:lvl w:ilvl="5" w:tplc="DF3A7804">
      <w:start w:val="1"/>
      <w:numFmt w:val="bullet"/>
      <w:lvlText w:val="■"/>
      <w:lvlJc w:val="left"/>
      <w:pPr>
        <w:ind w:left="4320" w:hanging="360"/>
      </w:pPr>
    </w:lvl>
    <w:lvl w:ilvl="6" w:tplc="9C1C881A">
      <w:start w:val="1"/>
      <w:numFmt w:val="bullet"/>
      <w:lvlText w:val="●"/>
      <w:lvlJc w:val="left"/>
      <w:pPr>
        <w:ind w:left="5040" w:hanging="360"/>
      </w:pPr>
    </w:lvl>
    <w:lvl w:ilvl="7" w:tplc="CF3CE7AA">
      <w:start w:val="1"/>
      <w:numFmt w:val="bullet"/>
      <w:lvlText w:val="●"/>
      <w:lvlJc w:val="left"/>
      <w:pPr>
        <w:ind w:left="5760" w:hanging="360"/>
      </w:pPr>
    </w:lvl>
    <w:lvl w:ilvl="8" w:tplc="22EAE0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5D4903"/>
    <w:multiLevelType w:val="hybridMultilevel"/>
    <w:tmpl w:val="FFFFFFFF"/>
    <w:lvl w:ilvl="0" w:tplc="75049EEE">
      <w:start w:val="1"/>
      <w:numFmt w:val="bullet"/>
      <w:lvlText w:val="•"/>
      <w:lvlJc w:val="left"/>
      <w:pPr>
        <w:ind w:left="480" w:hanging="270"/>
      </w:pPr>
      <w:rPr>
        <w:rFonts w:ascii="Symbol" w:eastAsia="Symbol" w:hAnsi="Symbol" w:cs="Symbol"/>
        <w:color w:val="E8835A"/>
      </w:rPr>
    </w:lvl>
    <w:lvl w:ilvl="1" w:tplc="94BA29CC">
      <w:start w:val="1"/>
      <w:numFmt w:val="bullet"/>
      <w:lvlText w:val="◦"/>
      <w:lvlJc w:val="left"/>
      <w:pPr>
        <w:ind w:left="880" w:hanging="270"/>
      </w:pPr>
      <w:rPr>
        <w:rFonts w:ascii="Symbol" w:eastAsia="Symbol" w:hAnsi="Symbol" w:cs="Symbol"/>
        <w:color w:val="4B3F8F"/>
      </w:rPr>
    </w:lvl>
    <w:lvl w:ilvl="2" w:tplc="E4FE9ADE">
      <w:numFmt w:val="decimal"/>
      <w:lvlText w:val=""/>
      <w:lvlJc w:val="left"/>
    </w:lvl>
    <w:lvl w:ilvl="3" w:tplc="D584E066">
      <w:numFmt w:val="decimal"/>
      <w:lvlText w:val=""/>
      <w:lvlJc w:val="left"/>
    </w:lvl>
    <w:lvl w:ilvl="4" w:tplc="340053B2">
      <w:numFmt w:val="decimal"/>
      <w:lvlText w:val=""/>
      <w:lvlJc w:val="left"/>
    </w:lvl>
    <w:lvl w:ilvl="5" w:tplc="43F2F8A4">
      <w:numFmt w:val="decimal"/>
      <w:lvlText w:val=""/>
      <w:lvlJc w:val="left"/>
    </w:lvl>
    <w:lvl w:ilvl="6" w:tplc="36C8EF4A">
      <w:numFmt w:val="decimal"/>
      <w:lvlText w:val=""/>
      <w:lvlJc w:val="left"/>
    </w:lvl>
    <w:lvl w:ilvl="7" w:tplc="7B947E80">
      <w:numFmt w:val="decimal"/>
      <w:lvlText w:val=""/>
      <w:lvlJc w:val="left"/>
    </w:lvl>
    <w:lvl w:ilvl="8" w:tplc="771E57E0">
      <w:numFmt w:val="decimal"/>
      <w:lvlText w:val=""/>
      <w:lvlJc w:val="left"/>
    </w:lvl>
  </w:abstractNum>
  <w:num w:numId="1" w16cid:durableId="2031879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ED"/>
    <w:rsid w:val="00065184"/>
    <w:rsid w:val="00125C4C"/>
    <w:rsid w:val="003B75A4"/>
    <w:rsid w:val="004028ED"/>
    <w:rsid w:val="006D6473"/>
    <w:rsid w:val="0074563B"/>
    <w:rsid w:val="00754E6A"/>
    <w:rsid w:val="00AC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6EED80"/>
  <w15:docId w15:val="{C6B7F2AC-3958-034A-A02E-D934C74E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25C4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5C4C"/>
  </w:style>
  <w:style w:type="paragraph" w:styleId="Pieddepage">
    <w:name w:val="footer"/>
    <w:basedOn w:val="Normal"/>
    <w:link w:val="PieddepageCar"/>
    <w:uiPriority w:val="99"/>
    <w:unhideWhenUsed/>
    <w:rsid w:val="00125C4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5C4C"/>
  </w:style>
  <w:style w:type="character" w:styleId="Numrodepage">
    <w:name w:val="page number"/>
    <w:basedOn w:val="Policepardfaut"/>
    <w:uiPriority w:val="99"/>
    <w:semiHidden/>
    <w:unhideWhenUsed/>
    <w:rsid w:val="00125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2152</Words>
  <Characters>11841</Characters>
  <Application>Microsoft Office Word</Application>
  <DocSecurity>0</DocSecurity>
  <Lines>98</Lines>
  <Paragraphs>27</Paragraphs>
  <ScaleCrop>false</ScaleCrop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2026-03-22T09:39:00Z</dcterms:created>
  <dcterms:modified xsi:type="dcterms:W3CDTF">2026-03-22T09:39:00Z</dcterms:modified>
</cp:coreProperties>
</file>