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61E4E" w14:textId="77777777" w:rsidR="00EB3894" w:rsidRDefault="00187C97">
      <w:pPr>
        <w:spacing w:after="50"/>
        <w:jc w:val="center"/>
      </w:pPr>
      <w:r>
        <w:rPr>
          <w:b/>
          <w:bCs/>
          <w:color w:val="4B3F8F"/>
          <w:sz w:val="26"/>
          <w:szCs w:val="26"/>
        </w:rPr>
        <w:t>Comprendre et Expliquer</w:t>
      </w:r>
    </w:p>
    <w:p w14:paraId="78958168" w14:textId="77777777" w:rsidR="00EB3894" w:rsidRDefault="00187C97">
      <w:pPr>
        <w:shd w:val="clear" w:color="auto" w:fill="4B3F8F"/>
        <w:jc w:val="center"/>
      </w:pPr>
      <w:r>
        <w:rPr>
          <w:b/>
          <w:bCs/>
          <w:color w:val="FFFFFF"/>
          <w:sz w:val="34"/>
          <w:szCs w:val="34"/>
        </w:rPr>
        <w:t>Nos Recommandations pour Protéger le Cerveau</w:t>
      </w:r>
    </w:p>
    <w:p w14:paraId="1A92625A" w14:textId="77777777" w:rsidR="00EB3894" w:rsidRDefault="00187C97">
      <w:pPr>
        <w:shd w:val="clear" w:color="auto" w:fill="E8835A"/>
        <w:spacing w:after="160"/>
        <w:jc w:val="center"/>
      </w:pPr>
      <w:r>
        <w:rPr>
          <w:b/>
          <w:bCs/>
          <w:color w:val="FFFFFF"/>
          <w:sz w:val="21"/>
          <w:szCs w:val="21"/>
        </w:rPr>
        <w:t xml:space="preserve">Maladies </w:t>
      </w:r>
      <w:proofErr w:type="spellStart"/>
      <w:r>
        <w:rPr>
          <w:b/>
          <w:bCs/>
          <w:color w:val="FFFFFF"/>
          <w:sz w:val="21"/>
          <w:szCs w:val="21"/>
        </w:rPr>
        <w:t>neurodégénératives</w:t>
      </w:r>
      <w:proofErr w:type="spellEnd"/>
      <w:r>
        <w:rPr>
          <w:b/>
          <w:bCs/>
          <w:color w:val="FFFFFF"/>
          <w:sz w:val="21"/>
          <w:szCs w:val="21"/>
        </w:rPr>
        <w:t xml:space="preserve"> — Approche </w:t>
      </w:r>
      <w:proofErr w:type="spellStart"/>
      <w:r>
        <w:rPr>
          <w:b/>
          <w:bCs/>
          <w:color w:val="FFFFFF"/>
          <w:sz w:val="21"/>
          <w:szCs w:val="21"/>
        </w:rPr>
        <w:t>naturopathique</w:t>
      </w:r>
      <w:proofErr w:type="spellEnd"/>
      <w:r>
        <w:rPr>
          <w:b/>
          <w:bCs/>
          <w:color w:val="FFFFFF"/>
          <w:sz w:val="21"/>
          <w:szCs w:val="21"/>
        </w:rPr>
        <w:t xml:space="preserve"> scientifique</w:t>
      </w:r>
    </w:p>
    <w:p w14:paraId="7CD3DC00" w14:textId="77777777" w:rsidR="00EB3894" w:rsidRDefault="00187C97">
      <w:pPr>
        <w:spacing w:after="160"/>
        <w:jc w:val="both"/>
      </w:pPr>
      <w:r>
        <w:rPr>
          <w:i/>
          <w:iCs/>
          <w:color w:val="E8835A"/>
        </w:rPr>
        <w:t>Ce guide s’adresse à des consultants souhaitant comprendre les mécanismes biologiques qui justifient chaque recommandation. Il utilise un langage accessible tout en restant scientifiquement rigoureux. Les termes techniques sont expliqués dès leur première apparition.</w:t>
      </w:r>
    </w:p>
    <w:p w14:paraId="66ABECE0" w14:textId="77777777" w:rsidR="00EB3894" w:rsidRDefault="00187C97">
      <w:pPr>
        <w:pBdr>
          <w:bottom w:val="single" w:sz="12" w:space="4" w:color="E8835A"/>
        </w:pBdr>
        <w:spacing w:before="280" w:after="110"/>
      </w:pPr>
      <w:r>
        <w:rPr>
          <w:b/>
          <w:bCs/>
          <w:color w:val="4B3F8F"/>
          <w:sz w:val="27"/>
          <w:szCs w:val="27"/>
        </w:rPr>
        <w:t>1. Comprendre ce qui se passe dans le cerveau</w:t>
      </w:r>
    </w:p>
    <w:p w14:paraId="6CAB3765" w14:textId="77777777" w:rsidR="00EB3894" w:rsidRDefault="00187C97">
      <w:pPr>
        <w:spacing w:before="200" w:after="80"/>
      </w:pPr>
      <w:r>
        <w:rPr>
          <w:b/>
          <w:bCs/>
          <w:color w:val="E8835A"/>
          <w:sz w:val="24"/>
          <w:szCs w:val="24"/>
        </w:rPr>
        <w:t>La cascade de dégénérescence : un enchaînement logique</w:t>
      </w:r>
    </w:p>
    <w:p w14:paraId="7F791EB7" w14:textId="77777777" w:rsidR="00EB3894" w:rsidRDefault="00187C97">
      <w:pPr>
        <w:spacing w:before="60" w:after="60"/>
        <w:jc w:val="both"/>
      </w:pPr>
      <w:r>
        <w:t xml:space="preserve">Les maladies </w:t>
      </w:r>
      <w:proofErr w:type="spellStart"/>
      <w:r>
        <w:t>neurodégénératives</w:t>
      </w:r>
      <w:proofErr w:type="spellEnd"/>
      <w:r>
        <w:t xml:space="preserve"> (Alzheimer, Parkinson, SLA) ont toutes un point de départ commun : des </w:t>
      </w:r>
      <w:r>
        <w:rPr>
          <w:b/>
          <w:bCs/>
          <w:color w:val="4B3F8F"/>
        </w:rPr>
        <w:t>protéines qui se replient mal</w:t>
      </w:r>
      <w:r>
        <w:t>. Dans notre cerveau, les protéines doivent prendre une forme tridimensionnelle précise pour fonctionner, comme une clé taillée pour une serrure spécifique. Sous l’effet du vieillissement, du stress oxydant ou de facteurs génétiques, certaines protéines se « tordent » et deviennent inutilisables.</w:t>
      </w:r>
    </w:p>
    <w:p w14:paraId="649C4A70" w14:textId="77777777" w:rsidR="00EB3894" w:rsidRDefault="00EB3894">
      <w:pPr>
        <w:spacing w:before="60"/>
      </w:pPr>
    </w:p>
    <w:p w14:paraId="5AE0A38C" w14:textId="77777777" w:rsidR="00EB3894" w:rsidRDefault="00187C97">
      <w:pPr>
        <w:spacing w:before="60" w:after="60"/>
        <w:jc w:val="both"/>
      </w:pPr>
      <w:r>
        <w:t xml:space="preserve">Normalement, notre cerveau dispose de systèmes de nettoyage : les </w:t>
      </w:r>
      <w:r>
        <w:rPr>
          <w:b/>
          <w:bCs/>
          <w:color w:val="4B3F8F"/>
        </w:rPr>
        <w:t>protéines chaperonnes</w:t>
      </w:r>
      <w:r>
        <w:t xml:space="preserve"> qui tentent de corriger ces erreurs, et le </w:t>
      </w:r>
      <w:r>
        <w:rPr>
          <w:b/>
          <w:bCs/>
          <w:color w:val="4B3F8F"/>
        </w:rPr>
        <w:t xml:space="preserve">système </w:t>
      </w:r>
      <w:proofErr w:type="spellStart"/>
      <w:r>
        <w:rPr>
          <w:b/>
          <w:bCs/>
          <w:color w:val="4B3F8F"/>
        </w:rPr>
        <w:t>ubiquitine-protéasome</w:t>
      </w:r>
      <w:proofErr w:type="spellEnd"/>
      <w:r>
        <w:t xml:space="preserve"> (l’éboueur cellulaire) qui élimine les protéines inutilisables. Mais quand la production de protéines anormales dépasse les capacités de nettoyage, elles s’agrègent en amas toxiques : les </w:t>
      </w:r>
      <w:r>
        <w:rPr>
          <w:b/>
          <w:bCs/>
          <w:color w:val="4B3F8F"/>
        </w:rPr>
        <w:t>plaques amyloïdes</w:t>
      </w:r>
      <w:r>
        <w:t xml:space="preserve"> dans Alzheimer, les </w:t>
      </w:r>
      <w:r>
        <w:rPr>
          <w:b/>
          <w:bCs/>
          <w:color w:val="4B3F8F"/>
        </w:rPr>
        <w:t xml:space="preserve">corps de </w:t>
      </w:r>
      <w:proofErr w:type="spellStart"/>
      <w:r>
        <w:rPr>
          <w:b/>
          <w:bCs/>
          <w:color w:val="4B3F8F"/>
        </w:rPr>
        <w:t>Lewy</w:t>
      </w:r>
      <w:proofErr w:type="spellEnd"/>
      <w:r>
        <w:t xml:space="preserve"> dans Parkinson.</w:t>
      </w:r>
    </w:p>
    <w:p w14:paraId="76EF0B2C" w14:textId="77777777" w:rsidR="00EB3894" w:rsidRDefault="00EB389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3894" w14:paraId="63BB3303" w14:textId="77777777">
        <w:tblPrEx>
          <w:tblCellMar>
            <w:top w:w="0" w:type="dxa"/>
            <w:bottom w:w="0" w:type="dxa"/>
          </w:tblCellMar>
        </w:tblPrEx>
        <w:tc>
          <w:tcPr>
            <w:tcW w:w="9026" w:type="dxa"/>
            <w:tcBorders>
              <w:top w:val="single" w:sz="14" w:space="0" w:color="4B3F8F"/>
              <w:left w:val="single" w:sz="28" w:space="0" w:color="4B3F8F"/>
              <w:bottom w:val="single" w:sz="4" w:space="0" w:color="4B3F8F"/>
              <w:right w:val="single" w:sz="4" w:space="0" w:color="4B3F8F"/>
            </w:tcBorders>
            <w:shd w:val="clear" w:color="auto" w:fill="EDE9F8"/>
            <w:tcMar>
              <w:top w:w="110" w:type="dxa"/>
              <w:left w:w="160" w:type="dxa"/>
              <w:bottom w:w="110" w:type="dxa"/>
              <w:right w:w="160" w:type="dxa"/>
            </w:tcMar>
          </w:tcPr>
          <w:p w14:paraId="4B8C849B" w14:textId="77777777" w:rsidR="00EB3894" w:rsidRDefault="00187C97">
            <w:pPr>
              <w:spacing w:before="60" w:after="50"/>
            </w:pPr>
            <w:r>
              <w:rPr>
                <w:b/>
                <w:bCs/>
                <w:color w:val="4B3F8F"/>
              </w:rPr>
              <w:t xml:space="preserve">  ▶  Pourquoi ces amas protéiques sont-ils si dangereux ?</w:t>
            </w:r>
          </w:p>
          <w:p w14:paraId="68C7FE41" w14:textId="77777777" w:rsidR="00EB3894" w:rsidRDefault="00187C97">
            <w:pPr>
              <w:spacing w:before="28" w:after="28"/>
              <w:jc w:val="both"/>
            </w:pPr>
            <w:r>
              <w:rPr>
                <w:sz w:val="21"/>
                <w:szCs w:val="21"/>
              </w:rPr>
              <w:t xml:space="preserve">     Perte de fonction : la protéine agrégée ne peut plus assurer son rôle biologique normal.</w:t>
            </w:r>
          </w:p>
          <w:p w14:paraId="5B71FC8C" w14:textId="77777777" w:rsidR="00EB3894" w:rsidRDefault="00187C97">
            <w:pPr>
              <w:spacing w:before="28" w:after="28"/>
              <w:jc w:val="both"/>
            </w:pPr>
            <w:r>
              <w:rPr>
                <w:sz w:val="21"/>
                <w:szCs w:val="21"/>
              </w:rPr>
              <w:t xml:space="preserve">     Gain de fonction toxique : l’amas acquiert une nouvelle propriété : tuer les neurones voisins.</w:t>
            </w:r>
          </w:p>
          <w:p w14:paraId="3EF26725" w14:textId="77777777" w:rsidR="00EB3894" w:rsidRDefault="00187C97">
            <w:pPr>
              <w:spacing w:before="28" w:after="28"/>
              <w:jc w:val="both"/>
            </w:pPr>
            <w:r>
              <w:rPr>
                <w:sz w:val="21"/>
                <w:szCs w:val="21"/>
              </w:rPr>
              <w:t xml:space="preserve">     Effet domino : les agrégats se propagent de neurone en neurone comme une infection.</w:t>
            </w:r>
          </w:p>
          <w:p w14:paraId="746BB993" w14:textId="77777777" w:rsidR="00EB3894" w:rsidRDefault="00187C97">
            <w:pPr>
              <w:spacing w:before="28" w:after="28"/>
              <w:jc w:val="both"/>
            </w:pPr>
            <w:r>
              <w:rPr>
                <w:sz w:val="21"/>
                <w:szCs w:val="21"/>
              </w:rPr>
              <w:t xml:space="preserve">     Inflammation chronique : la </w:t>
            </w:r>
            <w:proofErr w:type="spellStart"/>
            <w:r>
              <w:rPr>
                <w:sz w:val="21"/>
                <w:szCs w:val="21"/>
              </w:rPr>
              <w:t>microglie</w:t>
            </w:r>
            <w:proofErr w:type="spellEnd"/>
            <w:r>
              <w:rPr>
                <w:sz w:val="21"/>
                <w:szCs w:val="21"/>
              </w:rPr>
              <w:t xml:space="preserve"> (immunité du cerveau) détecte ces agrégats et déclenche une réponse inflammatoire qui, sur le long terme, endommage aussi les neurones sains.</w:t>
            </w:r>
          </w:p>
        </w:tc>
      </w:tr>
    </w:tbl>
    <w:p w14:paraId="1FA0E89D" w14:textId="77777777" w:rsidR="00EB3894" w:rsidRDefault="00EB3894">
      <w:pPr>
        <w:spacing w:before="100"/>
      </w:pPr>
    </w:p>
    <w:p w14:paraId="7B087F70" w14:textId="77777777" w:rsidR="00EB3894" w:rsidRDefault="00187C97">
      <w:pPr>
        <w:spacing w:before="200" w:after="80"/>
      </w:pPr>
      <w:r>
        <w:rPr>
          <w:b/>
          <w:bCs/>
          <w:color w:val="E8835A"/>
          <w:sz w:val="24"/>
          <w:szCs w:val="24"/>
        </w:rPr>
        <w:t xml:space="preserve">Le rôle central de la </w:t>
      </w:r>
      <w:proofErr w:type="spellStart"/>
      <w:r>
        <w:rPr>
          <w:b/>
          <w:bCs/>
          <w:color w:val="E8835A"/>
          <w:sz w:val="24"/>
          <w:szCs w:val="24"/>
        </w:rPr>
        <w:t>mitochondrie</w:t>
      </w:r>
      <w:proofErr w:type="spellEnd"/>
    </w:p>
    <w:p w14:paraId="100DD291" w14:textId="77777777" w:rsidR="00EB3894" w:rsidRDefault="00187C97">
      <w:pPr>
        <w:spacing w:before="60" w:after="60"/>
        <w:jc w:val="both"/>
      </w:pPr>
      <w:r>
        <w:t xml:space="preserve">Les neurones sont des cellules extraordinairement </w:t>
      </w:r>
      <w:proofErr w:type="spellStart"/>
      <w:r>
        <w:t>énergivores</w:t>
      </w:r>
      <w:proofErr w:type="spellEnd"/>
      <w:r>
        <w:t xml:space="preserve"> : ils représentent 2 % du poids du corps mais consomment </w:t>
      </w:r>
      <w:r>
        <w:rPr>
          <w:b/>
          <w:bCs/>
          <w:color w:val="E8835A"/>
        </w:rPr>
        <w:t>20 % de l’énergie totale</w:t>
      </w:r>
      <w:r>
        <w:t xml:space="preserve">. Cette énergie est produite dans les </w:t>
      </w:r>
      <w:proofErr w:type="spellStart"/>
      <w:r>
        <w:rPr>
          <w:b/>
          <w:bCs/>
          <w:color w:val="4B3F8F"/>
        </w:rPr>
        <w:t>mitochondries</w:t>
      </w:r>
      <w:proofErr w:type="spellEnd"/>
      <w:r>
        <w:t xml:space="preserve">, les centrales énergétiques de chaque cellule. Quand les </w:t>
      </w:r>
      <w:proofErr w:type="spellStart"/>
      <w:r>
        <w:t>mitochondries</w:t>
      </w:r>
      <w:proofErr w:type="spellEnd"/>
      <w:r>
        <w:t xml:space="preserve"> sont endommagées, elles doivent être recyclées par un processus appelé </w:t>
      </w:r>
      <w:proofErr w:type="spellStart"/>
      <w:r>
        <w:rPr>
          <w:b/>
          <w:bCs/>
          <w:color w:val="4B3F8F"/>
        </w:rPr>
        <w:t>mitophagie</w:t>
      </w:r>
      <w:proofErr w:type="spellEnd"/>
      <w:r>
        <w:t>.</w:t>
      </w:r>
    </w:p>
    <w:p w14:paraId="7D53C749" w14:textId="77777777" w:rsidR="00EB3894" w:rsidRDefault="00EB3894">
      <w:pPr>
        <w:spacing w:before="60"/>
      </w:pPr>
    </w:p>
    <w:p w14:paraId="121127B8" w14:textId="77777777" w:rsidR="00EB3894" w:rsidRDefault="00187C97">
      <w:pPr>
        <w:spacing w:before="60" w:after="60"/>
        <w:jc w:val="both"/>
      </w:pPr>
      <w:r>
        <w:t xml:space="preserve">Dans les MND, ce recyclage fonctionne mal : les </w:t>
      </w:r>
      <w:proofErr w:type="spellStart"/>
      <w:r>
        <w:t>mitochondries</w:t>
      </w:r>
      <w:proofErr w:type="spellEnd"/>
      <w:r>
        <w:t xml:space="preserve"> défectueuses s’accumulent, produisent moins d’énergie et génèrent davantage de molécules inflammatoires appelées </w:t>
      </w:r>
      <w:r>
        <w:rPr>
          <w:b/>
          <w:bCs/>
          <w:color w:val="4B3F8F"/>
        </w:rPr>
        <w:t>ROS</w:t>
      </w:r>
      <w:r>
        <w:t xml:space="preserve"> (Espèces Réactives de l’Oxygène). Ces ROS endommagent à leur tour l’ADN, les membranes et les protéines des neurones : c’est le </w:t>
      </w:r>
      <w:r>
        <w:rPr>
          <w:b/>
          <w:bCs/>
          <w:color w:val="4B3F8F"/>
        </w:rPr>
        <w:t>stress oxydant</w:t>
      </w:r>
      <w:r>
        <w:t xml:space="preserve">. Un neurone privé d’énergie et noyé dans les ROS entre alors en </w:t>
      </w:r>
      <w:proofErr w:type="spellStart"/>
      <w:r>
        <w:rPr>
          <w:b/>
          <w:bCs/>
          <w:color w:val="4B3F8F"/>
        </w:rPr>
        <w:t>apoptose</w:t>
      </w:r>
      <w:proofErr w:type="spellEnd"/>
      <w:r>
        <w:t xml:space="preserve"> : mort cellulaire programmée et irréversible.</w:t>
      </w:r>
    </w:p>
    <w:p w14:paraId="372D7C69" w14:textId="77777777" w:rsidR="00EB3894" w:rsidRDefault="00EB3894">
      <w:pPr>
        <w:spacing w:before="100"/>
      </w:pPr>
    </w:p>
    <w:p w14:paraId="670A9552" w14:textId="77777777" w:rsidR="00EB3894" w:rsidRDefault="00187C97">
      <w:pPr>
        <w:spacing w:before="200" w:after="80"/>
      </w:pPr>
      <w:proofErr w:type="spellStart"/>
      <w:r>
        <w:rPr>
          <w:b/>
          <w:bCs/>
          <w:color w:val="E8835A"/>
          <w:sz w:val="24"/>
          <w:szCs w:val="24"/>
        </w:rPr>
        <w:t>L’excitotoxicité</w:t>
      </w:r>
      <w:proofErr w:type="spellEnd"/>
      <w:r>
        <w:rPr>
          <w:b/>
          <w:bCs/>
          <w:color w:val="E8835A"/>
          <w:sz w:val="24"/>
          <w:szCs w:val="24"/>
        </w:rPr>
        <w:t xml:space="preserve"> : quand les neurones brûlent leurs circuits</w:t>
      </w:r>
    </w:p>
    <w:p w14:paraId="1C0F4814" w14:textId="77777777" w:rsidR="00EB3894" w:rsidRDefault="00187C97">
      <w:pPr>
        <w:spacing w:before="60" w:after="60"/>
        <w:jc w:val="both"/>
      </w:pPr>
      <w:r>
        <w:lastRenderedPageBreak/>
        <w:t xml:space="preserve">Le glutamate est le principal neurotransmetteur excitateur du cerveau : il « allume » les neurones pour transmettre l’information. En temps normal, il est équilibré par le GABA (neurotransmetteur inhibiteur). Mais en présence d’inflammation, le glutamate devient incontrôlé et active en excès les récepteurs </w:t>
      </w:r>
      <w:r>
        <w:rPr>
          <w:b/>
          <w:bCs/>
          <w:color w:val="4B3F8F"/>
        </w:rPr>
        <w:t>NMDA</w:t>
      </w:r>
      <w:r>
        <w:t xml:space="preserve"> (</w:t>
      </w:r>
      <w:proofErr w:type="spellStart"/>
      <w:r>
        <w:t>N-méthyl-D-aspartate</w:t>
      </w:r>
      <w:proofErr w:type="spellEnd"/>
      <w:r>
        <w:t>).</w:t>
      </w:r>
    </w:p>
    <w:p w14:paraId="114CE037" w14:textId="77777777" w:rsidR="00EB3894" w:rsidRDefault="00EB3894">
      <w:pPr>
        <w:spacing w:before="60"/>
      </w:pPr>
    </w:p>
    <w:p w14:paraId="4D425341" w14:textId="77777777" w:rsidR="00EB3894" w:rsidRDefault="00187C97">
      <w:pPr>
        <w:spacing w:before="60" w:after="60"/>
        <w:jc w:val="both"/>
      </w:pPr>
      <w:r>
        <w:t xml:space="preserve">Cette </w:t>
      </w:r>
      <w:proofErr w:type="spellStart"/>
      <w:r>
        <w:t>suractivation</w:t>
      </w:r>
      <w:proofErr w:type="spellEnd"/>
      <w:r>
        <w:t xml:space="preserve"> provoque un </w:t>
      </w:r>
      <w:r>
        <w:rPr>
          <w:b/>
          <w:bCs/>
          <w:color w:val="E8835A"/>
        </w:rPr>
        <w:t>afflux massif de calcium (Ca²⁺)</w:t>
      </w:r>
      <w:r>
        <w:t xml:space="preserve"> à l’intérieur du neurone. Le calcium en excès déclenche des enzymes destructrices qui dégradent les membranes, l’ADN et les protéines du neurone depuis l’intérieur. C’est ce qu’on appelle </w:t>
      </w:r>
      <w:proofErr w:type="spellStart"/>
      <w:r>
        <w:t>l’</w:t>
      </w:r>
      <w:r>
        <w:rPr>
          <w:b/>
          <w:bCs/>
          <w:color w:val="4B3F8F"/>
        </w:rPr>
        <w:t>excitotoxicité</w:t>
      </w:r>
      <w:proofErr w:type="spellEnd"/>
      <w:r>
        <w:t xml:space="preserve"> : le neurone meurt littéralement de trop de stimulation.</w:t>
      </w:r>
    </w:p>
    <w:p w14:paraId="0480C413" w14:textId="77777777" w:rsidR="00EB3894" w:rsidRDefault="00EB389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3894" w14:paraId="31371061" w14:textId="77777777">
        <w:tblPrEx>
          <w:tblCellMar>
            <w:top w:w="0" w:type="dxa"/>
            <w:bottom w:w="0" w:type="dxa"/>
          </w:tblCellMar>
        </w:tblPrEx>
        <w:tc>
          <w:tcPr>
            <w:tcW w:w="9026" w:type="dxa"/>
            <w:tcBorders>
              <w:top w:val="single" w:sz="14" w:space="0" w:color="E8835A"/>
              <w:left w:val="single" w:sz="28" w:space="0" w:color="E8835A"/>
              <w:bottom w:val="single" w:sz="4" w:space="0" w:color="E8835A"/>
              <w:right w:val="single" w:sz="4" w:space="0" w:color="E8835A"/>
            </w:tcBorders>
            <w:shd w:val="clear" w:color="auto" w:fill="FBF0EB"/>
            <w:tcMar>
              <w:top w:w="100" w:type="dxa"/>
              <w:left w:w="160" w:type="dxa"/>
              <w:bottom w:w="100" w:type="dxa"/>
              <w:right w:w="160" w:type="dxa"/>
            </w:tcMar>
          </w:tcPr>
          <w:p w14:paraId="5AEED01D" w14:textId="77777777" w:rsidR="00EB3894" w:rsidRDefault="00187C97">
            <w:pPr>
              <w:spacing w:before="60" w:after="50"/>
            </w:pPr>
            <w:r>
              <w:rPr>
                <w:b/>
                <w:bCs/>
                <w:color w:val="E8835A"/>
              </w:rPr>
              <w:t xml:space="preserve">  ★  À retenir</w:t>
            </w:r>
          </w:p>
          <w:p w14:paraId="16B2BFC1" w14:textId="77777777" w:rsidR="00EB3894" w:rsidRDefault="00187C97">
            <w:pPr>
              <w:spacing w:before="30" w:after="30"/>
            </w:pPr>
            <w:r>
              <w:rPr>
                <w:sz w:val="21"/>
                <w:szCs w:val="21"/>
              </w:rPr>
              <w:t xml:space="preserve">  ✓  Les MND résultent d’une cascade : protéines mal repliées → agrégats toxiques → inflammation → stress oxydant → </w:t>
            </w:r>
            <w:proofErr w:type="spellStart"/>
            <w:r>
              <w:rPr>
                <w:sz w:val="21"/>
                <w:szCs w:val="21"/>
              </w:rPr>
              <w:t>excitotoxicité</w:t>
            </w:r>
            <w:proofErr w:type="spellEnd"/>
            <w:r>
              <w:rPr>
                <w:sz w:val="21"/>
                <w:szCs w:val="21"/>
              </w:rPr>
              <w:t xml:space="preserve"> → mort </w:t>
            </w:r>
            <w:proofErr w:type="spellStart"/>
            <w:r>
              <w:rPr>
                <w:sz w:val="21"/>
                <w:szCs w:val="21"/>
              </w:rPr>
              <w:t>neuronale</w:t>
            </w:r>
            <w:proofErr w:type="spellEnd"/>
            <w:r>
              <w:rPr>
                <w:sz w:val="21"/>
                <w:szCs w:val="21"/>
              </w:rPr>
              <w:t>.</w:t>
            </w:r>
          </w:p>
          <w:p w14:paraId="62731312" w14:textId="77777777" w:rsidR="00EB3894" w:rsidRDefault="00187C97">
            <w:pPr>
              <w:spacing w:before="30" w:after="30"/>
            </w:pPr>
            <w:r>
              <w:rPr>
                <w:sz w:val="21"/>
                <w:szCs w:val="21"/>
              </w:rPr>
              <w:t xml:space="preserve">  ✓  Les neurones ne se régénèrent pas : chaque neurone perdu est perdu définitivement.</w:t>
            </w:r>
          </w:p>
          <w:p w14:paraId="73AF9013" w14:textId="77777777" w:rsidR="00EB3894" w:rsidRDefault="00187C97">
            <w:pPr>
              <w:spacing w:before="30" w:after="30"/>
            </w:pPr>
            <w:r>
              <w:rPr>
                <w:sz w:val="21"/>
                <w:szCs w:val="21"/>
              </w:rPr>
              <w:t xml:space="preserve">  ✓  Toutes nos recommandations visent à interrompre cette cascade à différents niveaux.</w:t>
            </w:r>
          </w:p>
        </w:tc>
      </w:tr>
    </w:tbl>
    <w:p w14:paraId="14403A99" w14:textId="77777777" w:rsidR="00F22919" w:rsidRDefault="00F22919" w:rsidP="00F22919"/>
    <w:p w14:paraId="3EE02206" w14:textId="684E05C5" w:rsidR="00EB3894" w:rsidRPr="00F22919" w:rsidRDefault="00187C97" w:rsidP="00F22919">
      <w:pPr>
        <w:rPr>
          <w:u w:val="single"/>
        </w:rPr>
      </w:pPr>
      <w:r w:rsidRPr="00F22919">
        <w:rPr>
          <w:b/>
          <w:bCs/>
          <w:color w:val="4B3F8F"/>
          <w:sz w:val="27"/>
          <w:szCs w:val="27"/>
          <w:u w:val="single"/>
        </w:rPr>
        <w:t>2. Les 4 fondations : pourquoi elles sont non négociables</w:t>
      </w:r>
    </w:p>
    <w:p w14:paraId="3786281B" w14:textId="77777777" w:rsidR="00EB3894" w:rsidRDefault="00187C97">
      <w:pPr>
        <w:spacing w:before="60" w:after="60"/>
        <w:jc w:val="both"/>
      </w:pPr>
      <w:r>
        <w:t xml:space="preserve">Avant toute </w:t>
      </w:r>
      <w:proofErr w:type="spellStart"/>
      <w:r>
        <w:t>supplémentation</w:t>
      </w:r>
      <w:proofErr w:type="spellEnd"/>
      <w:r>
        <w:t>, ces quatre habitudes constituent la base biologique sans laquelle aucune intervention ne sera efficace.</w:t>
      </w:r>
    </w:p>
    <w:p w14:paraId="30BD6B2D" w14:textId="77777777" w:rsidR="00EB3894" w:rsidRDefault="00EB3894">
      <w:pPr>
        <w:spacing w:before="80"/>
      </w:pPr>
    </w:p>
    <w:p w14:paraId="6DC56F3E" w14:textId="77777777" w:rsidR="00EB3894" w:rsidRDefault="00187C97">
      <w:pPr>
        <w:spacing w:before="200" w:after="80"/>
      </w:pPr>
      <w:r>
        <w:rPr>
          <w:b/>
          <w:bCs/>
          <w:color w:val="E8835A"/>
          <w:sz w:val="24"/>
          <w:szCs w:val="24"/>
        </w:rPr>
        <w:t xml:space="preserve">2.1  L’alimentation anti-inflammatoire et </w:t>
      </w:r>
      <w:proofErr w:type="spellStart"/>
      <w:r>
        <w:rPr>
          <w:b/>
          <w:bCs/>
          <w:color w:val="E8835A"/>
          <w:sz w:val="24"/>
          <w:szCs w:val="24"/>
        </w:rPr>
        <w:t>antioxydante</w:t>
      </w:r>
      <w:proofErr w:type="spellEnd"/>
    </w:p>
    <w:p w14:paraId="4A498BD1" w14:textId="77777777" w:rsidR="00EB3894" w:rsidRDefault="00187C97">
      <w:pPr>
        <w:spacing w:before="60" w:after="60"/>
        <w:jc w:val="both"/>
      </w:pPr>
      <w:r>
        <w:t xml:space="preserve">Le cerveau est particulièrement vulnérable au stress oxydant car il consomme beaucoup d’oxygène et est riche en acides gras </w:t>
      </w:r>
      <w:proofErr w:type="spellStart"/>
      <w:r>
        <w:t>polyinsaturés</w:t>
      </w:r>
      <w:proofErr w:type="spellEnd"/>
      <w:r>
        <w:t xml:space="preserve"> facilement oxydables. Or notre alimentation moderne tend à amplifier ce phénomène via les sucres rapides (qui favorisent la </w:t>
      </w:r>
      <w:proofErr w:type="spellStart"/>
      <w:r>
        <w:rPr>
          <w:b/>
          <w:bCs/>
          <w:color w:val="4B3F8F"/>
        </w:rPr>
        <w:t>glycation</w:t>
      </w:r>
      <w:proofErr w:type="spellEnd"/>
      <w:r>
        <w:t xml:space="preserve"> des protéines), les acides gras trans (qui altèrent les membranes) et le déséquilibre omega-6/omega-3 (pro-inflammatoire).</w:t>
      </w:r>
    </w:p>
    <w:p w14:paraId="0285B928" w14:textId="77777777" w:rsidR="00EB3894" w:rsidRDefault="00EB3894">
      <w:pPr>
        <w:spacing w:before="60"/>
      </w:pPr>
    </w:p>
    <w:p w14:paraId="5F1CDA0B" w14:textId="77777777" w:rsidR="00EB3894" w:rsidRDefault="00187C97">
      <w:pPr>
        <w:spacing w:before="60" w:after="60"/>
        <w:jc w:val="both"/>
      </w:pPr>
      <w:r>
        <w:t xml:space="preserve">Le modèle </w:t>
      </w:r>
      <w:r>
        <w:rPr>
          <w:b/>
          <w:bCs/>
          <w:color w:val="4B3F8F"/>
        </w:rPr>
        <w:t>méditerranéen</w:t>
      </w:r>
      <w:r>
        <w:t xml:space="preserve"> renverse ce système : il apporte naturellement des </w:t>
      </w:r>
      <w:proofErr w:type="spellStart"/>
      <w:r>
        <w:t>polyphénols</w:t>
      </w:r>
      <w:proofErr w:type="spellEnd"/>
      <w:r>
        <w:t xml:space="preserve"> (huile d’olive, légumes), des omega-3 (poissons gras), des fibres </w:t>
      </w:r>
      <w:proofErr w:type="spellStart"/>
      <w:r>
        <w:t>prébiotiques</w:t>
      </w:r>
      <w:proofErr w:type="spellEnd"/>
      <w:r>
        <w:t xml:space="preserve"> (légumineuses) et des antioxydants alimentaires (fruits colorés, noix). Des études longitudinales montrent une réduction significative du risque de déclin cognitif associée à ce mode alimentaire.</w:t>
      </w:r>
    </w:p>
    <w:p w14:paraId="70E5BFC5" w14:textId="77777777" w:rsidR="00EB3894" w:rsidRDefault="00EB3894">
      <w:pPr>
        <w:spacing w:before="60"/>
      </w:pPr>
    </w:p>
    <w:p w14:paraId="38FAEF5D" w14:textId="77777777" w:rsidR="00EB3894" w:rsidRDefault="00187C97">
      <w:pPr>
        <w:spacing w:before="60" w:after="60"/>
        <w:jc w:val="both"/>
      </w:pPr>
      <w:r>
        <w:rPr>
          <w:b/>
          <w:bCs/>
          <w:color w:val="4B3F8F"/>
        </w:rPr>
        <w:t xml:space="preserve">La </w:t>
      </w:r>
      <w:proofErr w:type="spellStart"/>
      <w:r>
        <w:rPr>
          <w:b/>
          <w:bCs/>
          <w:color w:val="4B3F8F"/>
        </w:rPr>
        <w:t>glycation</w:t>
      </w:r>
      <w:proofErr w:type="spellEnd"/>
      <w:r>
        <w:t xml:space="preserve"> mérite une attention particulière : quand les sucres sanguins restent élevés de façon chronique, ils se lient de manière irréversible aux protéines et forment des </w:t>
      </w:r>
      <w:r>
        <w:rPr>
          <w:b/>
          <w:bCs/>
          <w:color w:val="4B3F8F"/>
        </w:rPr>
        <w:t xml:space="preserve">produits de </w:t>
      </w:r>
      <w:proofErr w:type="spellStart"/>
      <w:r>
        <w:rPr>
          <w:b/>
          <w:bCs/>
          <w:color w:val="4B3F8F"/>
        </w:rPr>
        <w:t>glycation</w:t>
      </w:r>
      <w:proofErr w:type="spellEnd"/>
      <w:r>
        <w:rPr>
          <w:b/>
          <w:bCs/>
          <w:color w:val="4B3F8F"/>
        </w:rPr>
        <w:t xml:space="preserve"> avancée (AGE)</w:t>
      </w:r>
      <w:r>
        <w:t xml:space="preserve"> qui amplifient l’inflammation cérébrale. Maintenir un index </w:t>
      </w:r>
      <w:proofErr w:type="spellStart"/>
      <w:r>
        <w:t>glycémique</w:t>
      </w:r>
      <w:proofErr w:type="spellEnd"/>
      <w:r>
        <w:t xml:space="preserve"> bas est donc un acte direct de </w:t>
      </w:r>
      <w:proofErr w:type="spellStart"/>
      <w:r>
        <w:t>neuroprotection</w:t>
      </w:r>
      <w:proofErr w:type="spellEnd"/>
      <w:r>
        <w:t>.</w:t>
      </w:r>
    </w:p>
    <w:p w14:paraId="0DBD93F0" w14:textId="77777777" w:rsidR="00EB3894" w:rsidRDefault="00EB3894">
      <w:pPr>
        <w:spacing w:before="100"/>
      </w:pPr>
    </w:p>
    <w:p w14:paraId="3CE106CD" w14:textId="77777777" w:rsidR="00EB3894" w:rsidRDefault="00187C97">
      <w:pPr>
        <w:spacing w:before="200" w:after="80"/>
      </w:pPr>
      <w:r>
        <w:rPr>
          <w:b/>
          <w:bCs/>
          <w:color w:val="E8835A"/>
          <w:sz w:val="24"/>
          <w:szCs w:val="24"/>
        </w:rPr>
        <w:t>2.2  L’activité physique et le BDNF</w:t>
      </w:r>
    </w:p>
    <w:p w14:paraId="1FCEAB2F" w14:textId="77777777" w:rsidR="00EB3894" w:rsidRDefault="00187C97">
      <w:pPr>
        <w:spacing w:before="60" w:after="60"/>
        <w:jc w:val="both"/>
      </w:pPr>
      <w:r>
        <w:t xml:space="preserve">L’exercice physique est le seul facteur dont l’effet </w:t>
      </w:r>
      <w:proofErr w:type="spellStart"/>
      <w:r>
        <w:t>neuroprotecteur</w:t>
      </w:r>
      <w:proofErr w:type="spellEnd"/>
      <w:r>
        <w:t xml:space="preserve"> est démontré par des études IRM : il augmente le volume de l’hippocampe (zone de mémoire qui rétrécit dans Alzheimer) chez des personnes âgées. Ce phénomène est </w:t>
      </w:r>
      <w:proofErr w:type="spellStart"/>
      <w:r>
        <w:t>médié</w:t>
      </w:r>
      <w:proofErr w:type="spellEnd"/>
      <w:r>
        <w:t xml:space="preserve"> par le </w:t>
      </w:r>
      <w:r>
        <w:rPr>
          <w:b/>
          <w:bCs/>
          <w:color w:val="4B3F8F"/>
        </w:rPr>
        <w:t>BDNF</w:t>
      </w:r>
      <w:r>
        <w:t xml:space="preserve"> (</w:t>
      </w:r>
      <w:proofErr w:type="spellStart"/>
      <w:r>
        <w:t>Brain-Derived</w:t>
      </w:r>
      <w:proofErr w:type="spellEnd"/>
      <w:r>
        <w:t xml:space="preserve"> </w:t>
      </w:r>
      <w:proofErr w:type="spellStart"/>
      <w:r>
        <w:t>Neurotrophic</w:t>
      </w:r>
      <w:proofErr w:type="spellEnd"/>
      <w:r>
        <w:t xml:space="preserve"> Factor, ou facteur </w:t>
      </w:r>
      <w:proofErr w:type="spellStart"/>
      <w:r>
        <w:t>neurotrophique</w:t>
      </w:r>
      <w:proofErr w:type="spellEnd"/>
      <w:r>
        <w:t xml:space="preserve"> dérivé du cerveau).</w:t>
      </w:r>
    </w:p>
    <w:p w14:paraId="5689F334" w14:textId="77777777" w:rsidR="00EB3894" w:rsidRDefault="00EB3894">
      <w:pPr>
        <w:spacing w:before="60"/>
      </w:pPr>
    </w:p>
    <w:p w14:paraId="0543F686" w14:textId="77777777" w:rsidR="00EB3894" w:rsidRDefault="00187C97">
      <w:pPr>
        <w:spacing w:before="60" w:after="60"/>
        <w:jc w:val="both"/>
      </w:pPr>
      <w:r>
        <w:t xml:space="preserve">Le BDNF est une protéine de survie </w:t>
      </w:r>
      <w:proofErr w:type="spellStart"/>
      <w:r>
        <w:t>neuronale</w:t>
      </w:r>
      <w:proofErr w:type="spellEnd"/>
      <w:r>
        <w:t xml:space="preserve"> : il stimule la </w:t>
      </w:r>
      <w:proofErr w:type="spellStart"/>
      <w:r>
        <w:rPr>
          <w:b/>
          <w:bCs/>
          <w:color w:val="4B3F8F"/>
        </w:rPr>
        <w:t>neurogenèse</w:t>
      </w:r>
      <w:proofErr w:type="spellEnd"/>
      <w:r>
        <w:t xml:space="preserve"> (fabrication de nouveaux neurones dans l’hippocampe), renforce les connexions synaptiques existantes et </w:t>
      </w:r>
      <w:r>
        <w:lastRenderedPageBreak/>
        <w:t xml:space="preserve">protège les neurones contre </w:t>
      </w:r>
      <w:proofErr w:type="spellStart"/>
      <w:r>
        <w:t>l’apoptose</w:t>
      </w:r>
      <w:proofErr w:type="spellEnd"/>
      <w:r>
        <w:t>. Sa synthèse est directement stimulée par l’exercice physique, notamment l’endurance. Une sédentarité chronique est donc un facteur de risque neurologique direct.</w:t>
      </w:r>
    </w:p>
    <w:p w14:paraId="1B5523FC" w14:textId="77777777" w:rsidR="00EB3894" w:rsidRDefault="00EB3894">
      <w:pPr>
        <w:spacing w:before="100"/>
      </w:pPr>
    </w:p>
    <w:p w14:paraId="2C5241F4" w14:textId="77777777" w:rsidR="00EB3894" w:rsidRDefault="00187C97">
      <w:pPr>
        <w:spacing w:before="200" w:after="80"/>
      </w:pPr>
      <w:r>
        <w:rPr>
          <w:b/>
          <w:bCs/>
          <w:color w:val="E8835A"/>
          <w:sz w:val="24"/>
          <w:szCs w:val="24"/>
        </w:rPr>
        <w:t xml:space="preserve">2.3  Le sommeil et le système </w:t>
      </w:r>
      <w:proofErr w:type="spellStart"/>
      <w:r>
        <w:rPr>
          <w:b/>
          <w:bCs/>
          <w:color w:val="E8835A"/>
          <w:sz w:val="24"/>
          <w:szCs w:val="24"/>
        </w:rPr>
        <w:t>glymphatique</w:t>
      </w:r>
      <w:proofErr w:type="spellEnd"/>
    </w:p>
    <w:p w14:paraId="6AB90B73" w14:textId="77777777" w:rsidR="00EB3894" w:rsidRDefault="00187C97">
      <w:pPr>
        <w:spacing w:before="60" w:after="60"/>
        <w:jc w:val="both"/>
      </w:pPr>
      <w:r>
        <w:t xml:space="preserve">Le cerveau ne se contente pas de « se reposer » la nuit. Il active le </w:t>
      </w:r>
      <w:r>
        <w:rPr>
          <w:b/>
          <w:bCs/>
          <w:color w:val="4B3F8F"/>
        </w:rPr>
        <w:t xml:space="preserve">système </w:t>
      </w:r>
      <w:proofErr w:type="spellStart"/>
      <w:r>
        <w:rPr>
          <w:b/>
          <w:bCs/>
          <w:color w:val="4B3F8F"/>
        </w:rPr>
        <w:t>glymphatique</w:t>
      </w:r>
      <w:proofErr w:type="spellEnd"/>
      <w:r>
        <w:t xml:space="preserve"> : un réseau de canaux </w:t>
      </w:r>
      <w:proofErr w:type="spellStart"/>
      <w:r>
        <w:t>périvasculaires</w:t>
      </w:r>
      <w:proofErr w:type="spellEnd"/>
      <w:r>
        <w:t xml:space="preserve"> qui se dilate pendant le sommeil profond et perfuse le tissu cérébral avec du liquide céphalo-rachidien pour éliminer les déchets protéiques accumulés dans la journée, dont le </w:t>
      </w:r>
      <w:r>
        <w:rPr>
          <w:b/>
          <w:bCs/>
          <w:color w:val="4B3F8F"/>
        </w:rPr>
        <w:t>peptide bêta-amyloïde</w:t>
      </w:r>
      <w:r>
        <w:t xml:space="preserve"> (responsable des plaques d’Alzheimer).</w:t>
      </w:r>
    </w:p>
    <w:p w14:paraId="57F92480" w14:textId="77777777" w:rsidR="00EB3894" w:rsidRDefault="00EB3894">
      <w:pPr>
        <w:spacing w:before="60"/>
      </w:pPr>
    </w:p>
    <w:p w14:paraId="0BFA27A8" w14:textId="77777777" w:rsidR="00EB3894" w:rsidRDefault="00187C97">
      <w:pPr>
        <w:spacing w:before="60" w:after="60"/>
        <w:jc w:val="both"/>
      </w:pPr>
      <w:r>
        <w:t xml:space="preserve">Des études ont montré que </w:t>
      </w:r>
      <w:r>
        <w:rPr>
          <w:b/>
          <w:bCs/>
          <w:color w:val="E8835A"/>
        </w:rPr>
        <w:t>même une seule nuit de manque de sommeil</w:t>
      </w:r>
      <w:r>
        <w:t xml:space="preserve"> augmente significativement le taux de bêta-amyloïde dans le cerveau. La privation chronique de sommeil est donc un facteur de risque direct d’accumulation des agrégats protéiques. De plus, la </w:t>
      </w:r>
      <w:proofErr w:type="spellStart"/>
      <w:r>
        <w:t>mélatonine</w:t>
      </w:r>
      <w:proofErr w:type="spellEnd"/>
      <w:r>
        <w:t xml:space="preserve"> produite naturellement la nuit est elle-même un puissant antioxydant cérébral.</w:t>
      </w:r>
    </w:p>
    <w:p w14:paraId="16D013C0" w14:textId="77777777" w:rsidR="00EB3894" w:rsidRDefault="00EB3894">
      <w:pPr>
        <w:spacing w:before="100"/>
      </w:pPr>
    </w:p>
    <w:p w14:paraId="47927DAC" w14:textId="77777777" w:rsidR="00EB3894" w:rsidRDefault="00187C97">
      <w:pPr>
        <w:spacing w:before="200" w:after="80"/>
      </w:pPr>
      <w:r>
        <w:rPr>
          <w:b/>
          <w:bCs/>
          <w:color w:val="E8835A"/>
          <w:sz w:val="24"/>
          <w:szCs w:val="24"/>
        </w:rPr>
        <w:t>2.4  Le stress chronique et l’hippocampe</w:t>
      </w:r>
    </w:p>
    <w:p w14:paraId="59EC0FEA" w14:textId="77777777" w:rsidR="00EB3894" w:rsidRDefault="00187C97">
      <w:pPr>
        <w:spacing w:before="60" w:after="60"/>
        <w:jc w:val="both"/>
      </w:pPr>
      <w:r>
        <w:t xml:space="preserve">Le stress chronique maintient des taux élevés de </w:t>
      </w:r>
      <w:proofErr w:type="spellStart"/>
      <w:r>
        <w:rPr>
          <w:b/>
          <w:bCs/>
          <w:color w:val="4B3F8F"/>
        </w:rPr>
        <w:t>cortisol</w:t>
      </w:r>
      <w:proofErr w:type="spellEnd"/>
      <w:r>
        <w:t xml:space="preserve">, l’hormone du stress sécrétée par les </w:t>
      </w:r>
      <w:proofErr w:type="spellStart"/>
      <w:r>
        <w:t>gl</w:t>
      </w:r>
      <w:proofErr w:type="spellEnd"/>
      <w:r>
        <w:t xml:space="preserve"> </w:t>
      </w:r>
      <w:proofErr w:type="spellStart"/>
      <w:r>
        <w:t>andes</w:t>
      </w:r>
      <w:proofErr w:type="spellEnd"/>
      <w:r>
        <w:t xml:space="preserve"> surrénales. Or l’hippocampe — zone clé de la mémoire et parmi les premières touchées dans Alzheimer — est très dense en récepteurs au </w:t>
      </w:r>
      <w:proofErr w:type="spellStart"/>
      <w:r>
        <w:t>cortisol</w:t>
      </w:r>
      <w:proofErr w:type="spellEnd"/>
      <w:r>
        <w:t xml:space="preserve">. Une exposition prolongée au </w:t>
      </w:r>
      <w:proofErr w:type="spellStart"/>
      <w:r>
        <w:t>cortisol</w:t>
      </w:r>
      <w:proofErr w:type="spellEnd"/>
      <w:r>
        <w:t xml:space="preserve"> inhibe la </w:t>
      </w:r>
      <w:proofErr w:type="spellStart"/>
      <w:r>
        <w:t>neurogenèse</w:t>
      </w:r>
      <w:proofErr w:type="spellEnd"/>
      <w:r>
        <w:t xml:space="preserve"> </w:t>
      </w:r>
      <w:proofErr w:type="spellStart"/>
      <w:r>
        <w:t>hippocampique</w:t>
      </w:r>
      <w:proofErr w:type="spellEnd"/>
      <w:r>
        <w:t xml:space="preserve">, réduit les connexions synaptiques et peut aller jusqu’à provoquer une </w:t>
      </w:r>
      <w:r>
        <w:rPr>
          <w:b/>
          <w:bCs/>
          <w:color w:val="E8835A"/>
        </w:rPr>
        <w:t>atrophie mesurable à l’IRM</w:t>
      </w:r>
      <w:r>
        <w:t xml:space="preserve"> du volume </w:t>
      </w:r>
      <w:proofErr w:type="spellStart"/>
      <w:r>
        <w:t>hippocampique</w:t>
      </w:r>
      <w:proofErr w:type="spellEnd"/>
      <w:r>
        <w:t>.</w:t>
      </w:r>
    </w:p>
    <w:p w14:paraId="502B7B71" w14:textId="77777777" w:rsidR="00EB3894" w:rsidRDefault="00EB3894">
      <w:pPr>
        <w:spacing w:before="60"/>
      </w:pPr>
    </w:p>
    <w:p w14:paraId="2F2B8C6C" w14:textId="77777777" w:rsidR="00EB3894" w:rsidRDefault="00187C97">
      <w:pPr>
        <w:spacing w:before="60" w:after="60"/>
        <w:jc w:val="both"/>
      </w:pPr>
      <w:r>
        <w:t xml:space="preserve">Les plantes </w:t>
      </w:r>
      <w:proofErr w:type="spellStart"/>
      <w:r>
        <w:rPr>
          <w:b/>
          <w:bCs/>
          <w:color w:val="4B3F8F"/>
        </w:rPr>
        <w:t>adaptogènes</w:t>
      </w:r>
      <w:proofErr w:type="spellEnd"/>
      <w:r>
        <w:t xml:space="preserve"> (</w:t>
      </w:r>
      <w:proofErr w:type="spellStart"/>
      <w:r>
        <w:t>ashwagandha</w:t>
      </w:r>
      <w:proofErr w:type="spellEnd"/>
      <w:r>
        <w:t xml:space="preserve">, </w:t>
      </w:r>
      <w:proofErr w:type="spellStart"/>
      <w:r>
        <w:t>rhodiola</w:t>
      </w:r>
      <w:proofErr w:type="spellEnd"/>
      <w:r>
        <w:t xml:space="preserve">, </w:t>
      </w:r>
      <w:proofErr w:type="spellStart"/>
      <w:r>
        <w:t>éleuthérocoque</w:t>
      </w:r>
      <w:proofErr w:type="spellEnd"/>
      <w:r>
        <w:t>) agissent sur l’axe HPA (</w:t>
      </w:r>
      <w:proofErr w:type="spellStart"/>
      <w:r>
        <w:t>hypothalamo-hypophyso</w:t>
      </w:r>
      <w:proofErr w:type="spellEnd"/>
      <w:r>
        <w:t>-</w:t>
      </w:r>
      <w:proofErr w:type="spellStart"/>
      <w:r>
        <w:t>surrénalien</w:t>
      </w:r>
      <w:proofErr w:type="spellEnd"/>
      <w:r>
        <w:t xml:space="preserve">) pour modérer la réponse au stress et réduire les pics de </w:t>
      </w:r>
      <w:proofErr w:type="spellStart"/>
      <w:r>
        <w:t>cortisol</w:t>
      </w:r>
      <w:proofErr w:type="spellEnd"/>
      <w:r>
        <w:t xml:space="preserve">. Les techniques </w:t>
      </w:r>
      <w:proofErr w:type="spellStart"/>
      <w:r>
        <w:t>psychocorporelles</w:t>
      </w:r>
      <w:proofErr w:type="spellEnd"/>
      <w:r>
        <w:t xml:space="preserve"> (sophrologie, méditation, cohérence cardiaque) ont également des effets biologiques mesurables sur l’inflammation et le </w:t>
      </w:r>
      <w:proofErr w:type="spellStart"/>
      <w:r>
        <w:t>cortisol</w:t>
      </w:r>
      <w:proofErr w:type="spellEnd"/>
      <w:r>
        <w:t>.</w:t>
      </w:r>
    </w:p>
    <w:p w14:paraId="34B6D411" w14:textId="77777777" w:rsidR="00EB3894" w:rsidRDefault="00EB389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3894" w14:paraId="6F477409" w14:textId="77777777">
        <w:tblPrEx>
          <w:tblCellMar>
            <w:top w:w="0" w:type="dxa"/>
            <w:bottom w:w="0" w:type="dxa"/>
          </w:tblCellMar>
        </w:tblPrEx>
        <w:tc>
          <w:tcPr>
            <w:tcW w:w="9026" w:type="dxa"/>
            <w:tcBorders>
              <w:top w:val="single" w:sz="14" w:space="0" w:color="E8835A"/>
              <w:left w:val="single" w:sz="28" w:space="0" w:color="E8835A"/>
              <w:bottom w:val="single" w:sz="4" w:space="0" w:color="E8835A"/>
              <w:right w:val="single" w:sz="4" w:space="0" w:color="E8835A"/>
            </w:tcBorders>
            <w:shd w:val="clear" w:color="auto" w:fill="FBF0EB"/>
            <w:tcMar>
              <w:top w:w="100" w:type="dxa"/>
              <w:left w:w="160" w:type="dxa"/>
              <w:bottom w:w="100" w:type="dxa"/>
              <w:right w:w="160" w:type="dxa"/>
            </w:tcMar>
          </w:tcPr>
          <w:p w14:paraId="64F258EE" w14:textId="77777777" w:rsidR="00EB3894" w:rsidRDefault="00187C97">
            <w:pPr>
              <w:spacing w:before="60" w:after="50"/>
            </w:pPr>
            <w:r>
              <w:rPr>
                <w:b/>
                <w:bCs/>
                <w:color w:val="E8835A"/>
              </w:rPr>
              <w:t xml:space="preserve">  ★  À retenir</w:t>
            </w:r>
          </w:p>
          <w:p w14:paraId="404A8A9D" w14:textId="77777777" w:rsidR="00EB3894" w:rsidRDefault="00187C97">
            <w:pPr>
              <w:spacing w:before="30" w:after="30"/>
            </w:pPr>
            <w:r>
              <w:rPr>
                <w:sz w:val="21"/>
                <w:szCs w:val="21"/>
              </w:rPr>
              <w:t xml:space="preserve">  ✓  Alimentation : réduire la </w:t>
            </w:r>
            <w:proofErr w:type="spellStart"/>
            <w:r>
              <w:rPr>
                <w:sz w:val="21"/>
                <w:szCs w:val="21"/>
              </w:rPr>
              <w:t>glycation</w:t>
            </w:r>
            <w:proofErr w:type="spellEnd"/>
            <w:r>
              <w:rPr>
                <w:sz w:val="21"/>
                <w:szCs w:val="21"/>
              </w:rPr>
              <w:t xml:space="preserve"> et l’inflammation de fond, apporter les précurseurs des défenses </w:t>
            </w:r>
            <w:proofErr w:type="spellStart"/>
            <w:r>
              <w:rPr>
                <w:sz w:val="21"/>
                <w:szCs w:val="21"/>
              </w:rPr>
              <w:t>antioxydantes</w:t>
            </w:r>
            <w:proofErr w:type="spellEnd"/>
            <w:r>
              <w:rPr>
                <w:sz w:val="21"/>
                <w:szCs w:val="21"/>
              </w:rPr>
              <w:t>.</w:t>
            </w:r>
          </w:p>
          <w:p w14:paraId="06B46EF2" w14:textId="77777777" w:rsidR="00EB3894" w:rsidRDefault="00187C97">
            <w:pPr>
              <w:spacing w:before="30" w:after="30"/>
            </w:pPr>
            <w:r>
              <w:rPr>
                <w:sz w:val="21"/>
                <w:szCs w:val="21"/>
              </w:rPr>
              <w:t xml:space="preserve">  ✓  Exercice : stimule le BDNF, seul facteur prouvé à augmenter le volume </w:t>
            </w:r>
            <w:proofErr w:type="spellStart"/>
            <w:r>
              <w:rPr>
                <w:sz w:val="21"/>
                <w:szCs w:val="21"/>
              </w:rPr>
              <w:t>hippocampique</w:t>
            </w:r>
            <w:proofErr w:type="spellEnd"/>
            <w:r>
              <w:rPr>
                <w:sz w:val="21"/>
                <w:szCs w:val="21"/>
              </w:rPr>
              <w:t>.</w:t>
            </w:r>
          </w:p>
          <w:p w14:paraId="5310FF72" w14:textId="77777777" w:rsidR="00EB3894" w:rsidRDefault="00187C97">
            <w:pPr>
              <w:spacing w:before="30" w:after="30"/>
            </w:pPr>
            <w:r>
              <w:rPr>
                <w:sz w:val="21"/>
                <w:szCs w:val="21"/>
              </w:rPr>
              <w:t xml:space="preserve">  ✓  Sommeil : active le drainage </w:t>
            </w:r>
            <w:proofErr w:type="spellStart"/>
            <w:r>
              <w:rPr>
                <w:sz w:val="21"/>
                <w:szCs w:val="21"/>
              </w:rPr>
              <w:t>glymphatique</w:t>
            </w:r>
            <w:proofErr w:type="spellEnd"/>
            <w:r>
              <w:rPr>
                <w:sz w:val="21"/>
                <w:szCs w:val="21"/>
              </w:rPr>
              <w:t xml:space="preserve"> qui élimine les protéines amyloïdes chaque nuit.</w:t>
            </w:r>
          </w:p>
          <w:p w14:paraId="4E24A7D5" w14:textId="77777777" w:rsidR="00EB3894" w:rsidRDefault="00187C97">
            <w:pPr>
              <w:spacing w:before="30" w:after="30"/>
            </w:pPr>
            <w:r>
              <w:rPr>
                <w:sz w:val="21"/>
                <w:szCs w:val="21"/>
              </w:rPr>
              <w:t xml:space="preserve">  ✓  Stress : le </w:t>
            </w:r>
            <w:proofErr w:type="spellStart"/>
            <w:r>
              <w:rPr>
                <w:sz w:val="21"/>
                <w:szCs w:val="21"/>
              </w:rPr>
              <w:t>cortisol</w:t>
            </w:r>
            <w:proofErr w:type="spellEnd"/>
            <w:r>
              <w:rPr>
                <w:sz w:val="21"/>
                <w:szCs w:val="21"/>
              </w:rPr>
              <w:t xml:space="preserve"> chronique </w:t>
            </w:r>
            <w:proofErr w:type="spellStart"/>
            <w:r>
              <w:rPr>
                <w:sz w:val="21"/>
                <w:szCs w:val="21"/>
              </w:rPr>
              <w:t>att</w:t>
            </w:r>
            <w:proofErr w:type="spellEnd"/>
            <w:r>
              <w:rPr>
                <w:sz w:val="21"/>
                <w:szCs w:val="21"/>
              </w:rPr>
              <w:t xml:space="preserve"> </w:t>
            </w:r>
            <w:proofErr w:type="spellStart"/>
            <w:r>
              <w:rPr>
                <w:sz w:val="21"/>
                <w:szCs w:val="21"/>
              </w:rPr>
              <w:t>aque</w:t>
            </w:r>
            <w:proofErr w:type="spellEnd"/>
            <w:r>
              <w:rPr>
                <w:sz w:val="21"/>
                <w:szCs w:val="21"/>
              </w:rPr>
              <w:t xml:space="preserve"> directement l’hippocampe et inhibe la </w:t>
            </w:r>
            <w:proofErr w:type="spellStart"/>
            <w:r>
              <w:rPr>
                <w:sz w:val="21"/>
                <w:szCs w:val="21"/>
              </w:rPr>
              <w:t>neurogenèse</w:t>
            </w:r>
            <w:proofErr w:type="spellEnd"/>
            <w:r>
              <w:rPr>
                <w:sz w:val="21"/>
                <w:szCs w:val="21"/>
              </w:rPr>
              <w:t>.</w:t>
            </w:r>
          </w:p>
        </w:tc>
      </w:tr>
    </w:tbl>
    <w:p w14:paraId="233B7F6C" w14:textId="77777777" w:rsidR="00EB3894" w:rsidRDefault="00187C97">
      <w:r>
        <w:br w:type="page"/>
      </w:r>
    </w:p>
    <w:p w14:paraId="3C941958" w14:textId="77777777" w:rsidR="00EB3894" w:rsidRDefault="00187C97">
      <w:pPr>
        <w:pBdr>
          <w:bottom w:val="single" w:sz="12" w:space="4" w:color="E8835A"/>
        </w:pBdr>
        <w:spacing w:before="280" w:after="110"/>
      </w:pPr>
      <w:r>
        <w:rPr>
          <w:b/>
          <w:bCs/>
          <w:color w:val="4B3F8F"/>
          <w:sz w:val="27"/>
          <w:szCs w:val="27"/>
        </w:rPr>
        <w:lastRenderedPageBreak/>
        <w:t>3. Les omega-3 : bien plus que de « bonnes graisses »</w:t>
      </w:r>
    </w:p>
    <w:p w14:paraId="189D06E9" w14:textId="77777777" w:rsidR="00EB3894" w:rsidRDefault="00187C97">
      <w:pPr>
        <w:spacing w:before="60" w:after="60"/>
        <w:jc w:val="both"/>
      </w:pPr>
      <w:r>
        <w:t xml:space="preserve">Le cerveau est composé à 60 % de graisses. La qualité de ces graisses détermine directement la fluidité des membranes cellulaires et leur capacité à faire fonctionner les récepteurs, les canaux ioniques et les pompes énergétiques. Le </w:t>
      </w:r>
      <w:r>
        <w:rPr>
          <w:b/>
          <w:bCs/>
          <w:color w:val="4B3F8F"/>
        </w:rPr>
        <w:t xml:space="preserve">DHA (acide </w:t>
      </w:r>
      <w:proofErr w:type="spellStart"/>
      <w:r>
        <w:rPr>
          <w:b/>
          <w:bCs/>
          <w:color w:val="4B3F8F"/>
        </w:rPr>
        <w:t>docosahexénoïque</w:t>
      </w:r>
      <w:proofErr w:type="spellEnd"/>
      <w:r>
        <w:rPr>
          <w:b/>
          <w:bCs/>
          <w:color w:val="4B3F8F"/>
        </w:rPr>
        <w:t>)</w:t>
      </w:r>
      <w:r>
        <w:t xml:space="preserve"> est l’omega-3 prédominant dans les membranes des neurones.</w:t>
      </w:r>
    </w:p>
    <w:p w14:paraId="5B1EC620" w14:textId="77777777" w:rsidR="00EB3894" w:rsidRDefault="00EB3894">
      <w:pPr>
        <w:spacing w:before="80"/>
      </w:pPr>
    </w:p>
    <w:p w14:paraId="46A39D48" w14:textId="77777777" w:rsidR="00EB3894" w:rsidRDefault="00187C97">
      <w:pPr>
        <w:spacing w:before="200" w:after="80"/>
      </w:pPr>
      <w:r>
        <w:rPr>
          <w:b/>
          <w:bCs/>
          <w:color w:val="E8835A"/>
          <w:sz w:val="24"/>
          <w:szCs w:val="24"/>
        </w:rPr>
        <w:t xml:space="preserve">Le DHA : constituant structurel des membranes </w:t>
      </w:r>
      <w:proofErr w:type="spellStart"/>
      <w:r>
        <w:rPr>
          <w:b/>
          <w:bCs/>
          <w:color w:val="E8835A"/>
          <w:sz w:val="24"/>
          <w:szCs w:val="24"/>
        </w:rPr>
        <w:t>neuronales</w:t>
      </w:r>
      <w:proofErr w:type="spellEnd"/>
    </w:p>
    <w:p w14:paraId="0DD59CF7" w14:textId="77777777" w:rsidR="00EB3894" w:rsidRDefault="00187C97">
      <w:pPr>
        <w:spacing w:before="60" w:after="60"/>
        <w:jc w:val="both"/>
      </w:pPr>
      <w:r>
        <w:t xml:space="preserve">Une membrane </w:t>
      </w:r>
      <w:proofErr w:type="spellStart"/>
      <w:r>
        <w:t>neuronale</w:t>
      </w:r>
      <w:proofErr w:type="spellEnd"/>
      <w:r>
        <w:t xml:space="preserve"> riche en DHA est fluide et souple, permettant à tous les protéines </w:t>
      </w:r>
      <w:proofErr w:type="spellStart"/>
      <w:r>
        <w:t>membranaires</w:t>
      </w:r>
      <w:proofErr w:type="spellEnd"/>
      <w:r>
        <w:t xml:space="preserve"> (récepteurs, transporteurs) de fonctionner correctement. Une membrane appauvrie en DHA (et enrichie en omega-6 ou en graisses saturées) devient rigide, ce qui perturbe la </w:t>
      </w:r>
      <w:r>
        <w:rPr>
          <w:b/>
          <w:bCs/>
          <w:color w:val="4B3F8F"/>
        </w:rPr>
        <w:t>neurotransmission synaptique</w:t>
      </w:r>
      <w:r>
        <w:t xml:space="preserve"> et la sensibilité des récepteurs. Le DHA est également nécessaire à la synthèse des </w:t>
      </w:r>
      <w:proofErr w:type="spellStart"/>
      <w:r>
        <w:rPr>
          <w:b/>
          <w:bCs/>
          <w:color w:val="4B3F8F"/>
        </w:rPr>
        <w:t>neuroprotéctines</w:t>
      </w:r>
      <w:proofErr w:type="spellEnd"/>
      <w:r>
        <w:t xml:space="preserve">, des molécules anti-inflammatoires et </w:t>
      </w:r>
      <w:proofErr w:type="spellStart"/>
      <w:r>
        <w:t>anti-apoptotiques</w:t>
      </w:r>
      <w:proofErr w:type="spellEnd"/>
      <w:r>
        <w:t xml:space="preserve"> dérivées du DHA qui protègent directement les neurones.</w:t>
      </w:r>
    </w:p>
    <w:p w14:paraId="56F35FFC" w14:textId="77777777" w:rsidR="00EB3894" w:rsidRDefault="00EB3894">
      <w:pPr>
        <w:spacing w:before="80"/>
      </w:pPr>
    </w:p>
    <w:p w14:paraId="51B61F7C" w14:textId="77777777" w:rsidR="00EB3894" w:rsidRDefault="00187C97">
      <w:pPr>
        <w:spacing w:before="200" w:after="80"/>
      </w:pPr>
      <w:r>
        <w:rPr>
          <w:b/>
          <w:bCs/>
          <w:color w:val="E8835A"/>
          <w:sz w:val="24"/>
          <w:szCs w:val="24"/>
        </w:rPr>
        <w:t>L’EPA : régulateur de l’inflammation cérébrale</w:t>
      </w:r>
    </w:p>
    <w:p w14:paraId="52E2C930" w14:textId="77777777" w:rsidR="00EB3894" w:rsidRDefault="00187C97">
      <w:pPr>
        <w:spacing w:before="60" w:after="60"/>
        <w:jc w:val="both"/>
      </w:pPr>
      <w:r>
        <w:t xml:space="preserve">L’EPA (acide </w:t>
      </w:r>
      <w:proofErr w:type="spellStart"/>
      <w:r>
        <w:t>eicosapentanoïque</w:t>
      </w:r>
      <w:proofErr w:type="spellEnd"/>
      <w:r>
        <w:t xml:space="preserve">) agit à un autre niveau : il entre en compétition avec l’acide </w:t>
      </w:r>
      <w:proofErr w:type="spellStart"/>
      <w:r>
        <w:t>arachidonique</w:t>
      </w:r>
      <w:proofErr w:type="spellEnd"/>
      <w:r>
        <w:t xml:space="preserve"> (omega-6 pro-inflammatoire) pour les mêmes enzymes (COX et LOX), réduisant ainsi la production de cytokines pro-inflammatoires (</w:t>
      </w:r>
      <w:proofErr w:type="spellStart"/>
      <w:r>
        <w:t>prostaglandines</w:t>
      </w:r>
      <w:proofErr w:type="spellEnd"/>
      <w:r>
        <w:t xml:space="preserve"> de série 2). En pratique, </w:t>
      </w:r>
      <w:r>
        <w:rPr>
          <w:b/>
          <w:bCs/>
          <w:color w:val="E8835A"/>
        </w:rPr>
        <w:t>le ratio omega-6/omega-3 de l’alimentation moderne est d’environ 15 pour 1</w:t>
      </w:r>
      <w:r>
        <w:t xml:space="preserve">, alors que le ratio optimal est de 4 pour 1. Cet excès d’omega-6 entretient un état pro-inflammatoire chronique qui alimente la </w:t>
      </w:r>
      <w:proofErr w:type="spellStart"/>
      <w:r>
        <w:t>neuroinflammation</w:t>
      </w:r>
      <w:proofErr w:type="spellEnd"/>
      <w:r>
        <w:t>.</w:t>
      </w:r>
    </w:p>
    <w:p w14:paraId="614D1AEA" w14:textId="77777777" w:rsidR="00EB3894" w:rsidRDefault="00EB389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3894" w14:paraId="427A5750" w14:textId="77777777">
        <w:tblPrEx>
          <w:tblCellMar>
            <w:top w:w="0" w:type="dxa"/>
            <w:bottom w:w="0" w:type="dxa"/>
          </w:tblCellMar>
        </w:tblPrEx>
        <w:tc>
          <w:tcPr>
            <w:tcW w:w="9026" w:type="dxa"/>
            <w:tcBorders>
              <w:top w:val="single" w:sz="14" w:space="0" w:color="1B7A6E"/>
              <w:left w:val="single" w:sz="28" w:space="0" w:color="1B7A6E"/>
              <w:bottom w:val="single" w:sz="4" w:space="0" w:color="1B7A6E"/>
              <w:right w:val="single" w:sz="4" w:space="0" w:color="1B7A6E"/>
            </w:tcBorders>
            <w:shd w:val="clear" w:color="auto" w:fill="E2F4F2"/>
            <w:tcMar>
              <w:top w:w="110" w:type="dxa"/>
              <w:left w:w="160" w:type="dxa"/>
              <w:bottom w:w="110" w:type="dxa"/>
              <w:right w:w="160" w:type="dxa"/>
            </w:tcMar>
          </w:tcPr>
          <w:p w14:paraId="660E7319" w14:textId="77777777" w:rsidR="00EB3894" w:rsidRDefault="00187C97">
            <w:pPr>
              <w:spacing w:before="60" w:after="50"/>
            </w:pPr>
            <w:r>
              <w:rPr>
                <w:b/>
                <w:bCs/>
                <w:color w:val="1B7A6E"/>
              </w:rPr>
              <w:t xml:space="preserve">  ▶  Mécanisme de protection des omega-3 dans les MND</w:t>
            </w:r>
          </w:p>
          <w:p w14:paraId="53627C18" w14:textId="77777777" w:rsidR="00EB3894" w:rsidRDefault="00187C97">
            <w:pPr>
              <w:spacing w:before="28" w:after="28"/>
              <w:jc w:val="both"/>
            </w:pPr>
            <w:r>
              <w:rPr>
                <w:sz w:val="21"/>
                <w:szCs w:val="21"/>
              </w:rPr>
              <w:t xml:space="preserve">     DHA : maintien de la fluidité </w:t>
            </w:r>
            <w:proofErr w:type="spellStart"/>
            <w:r>
              <w:rPr>
                <w:sz w:val="21"/>
                <w:szCs w:val="21"/>
              </w:rPr>
              <w:t>membranaire</w:t>
            </w:r>
            <w:proofErr w:type="spellEnd"/>
            <w:r>
              <w:rPr>
                <w:sz w:val="21"/>
                <w:szCs w:val="21"/>
              </w:rPr>
              <w:t xml:space="preserve"> → meilleure fonction des récepteurs et des pompes ioniques.</w:t>
            </w:r>
          </w:p>
          <w:p w14:paraId="043F81C9" w14:textId="77777777" w:rsidR="00EB3894" w:rsidRDefault="00187C97">
            <w:pPr>
              <w:spacing w:before="28" w:after="28"/>
              <w:jc w:val="both"/>
            </w:pPr>
            <w:r>
              <w:rPr>
                <w:sz w:val="21"/>
                <w:szCs w:val="21"/>
              </w:rPr>
              <w:t xml:space="preserve">     DHA : précurseur des </w:t>
            </w:r>
            <w:proofErr w:type="spellStart"/>
            <w:r>
              <w:rPr>
                <w:sz w:val="21"/>
                <w:szCs w:val="21"/>
              </w:rPr>
              <w:t>neuroprotectines</w:t>
            </w:r>
            <w:proofErr w:type="spellEnd"/>
            <w:r>
              <w:rPr>
                <w:sz w:val="21"/>
                <w:szCs w:val="21"/>
              </w:rPr>
              <w:t xml:space="preserve"> D1 → réduction de </w:t>
            </w:r>
            <w:proofErr w:type="spellStart"/>
            <w:r>
              <w:rPr>
                <w:sz w:val="21"/>
                <w:szCs w:val="21"/>
              </w:rPr>
              <w:t>l’apoptose</w:t>
            </w:r>
            <w:proofErr w:type="spellEnd"/>
            <w:r>
              <w:rPr>
                <w:sz w:val="21"/>
                <w:szCs w:val="21"/>
              </w:rPr>
              <w:t xml:space="preserve"> </w:t>
            </w:r>
            <w:proofErr w:type="spellStart"/>
            <w:r>
              <w:rPr>
                <w:sz w:val="21"/>
                <w:szCs w:val="21"/>
              </w:rPr>
              <w:t>neuronale</w:t>
            </w:r>
            <w:proofErr w:type="spellEnd"/>
            <w:r>
              <w:rPr>
                <w:sz w:val="21"/>
                <w:szCs w:val="21"/>
              </w:rPr>
              <w:t>.</w:t>
            </w:r>
          </w:p>
          <w:p w14:paraId="1362A010" w14:textId="77777777" w:rsidR="00EB3894" w:rsidRDefault="00187C97">
            <w:pPr>
              <w:spacing w:before="28" w:after="28"/>
              <w:jc w:val="both"/>
            </w:pPr>
            <w:r>
              <w:rPr>
                <w:sz w:val="21"/>
                <w:szCs w:val="21"/>
              </w:rPr>
              <w:t xml:space="preserve">     EPA : compétition avec l’ac. </w:t>
            </w:r>
            <w:proofErr w:type="spellStart"/>
            <w:r>
              <w:rPr>
                <w:sz w:val="21"/>
                <w:szCs w:val="21"/>
              </w:rPr>
              <w:t>arachidonique</w:t>
            </w:r>
            <w:proofErr w:type="spellEnd"/>
            <w:r>
              <w:rPr>
                <w:sz w:val="21"/>
                <w:szCs w:val="21"/>
              </w:rPr>
              <w:t xml:space="preserve"> → réduction des cytokines </w:t>
            </w:r>
            <w:proofErr w:type="spellStart"/>
            <w:r>
              <w:rPr>
                <w:sz w:val="21"/>
                <w:szCs w:val="21"/>
              </w:rPr>
              <w:t>pro-inflam</w:t>
            </w:r>
            <w:proofErr w:type="spellEnd"/>
            <w:r>
              <w:rPr>
                <w:sz w:val="21"/>
                <w:szCs w:val="21"/>
              </w:rPr>
              <w:t>. (IL-1β, TNFα).</w:t>
            </w:r>
          </w:p>
          <w:p w14:paraId="49A34773" w14:textId="77777777" w:rsidR="00EB3894" w:rsidRDefault="00187C97">
            <w:pPr>
              <w:spacing w:before="28" w:after="28"/>
              <w:jc w:val="both"/>
            </w:pPr>
            <w:r>
              <w:rPr>
                <w:sz w:val="21"/>
                <w:szCs w:val="21"/>
              </w:rPr>
              <w:t xml:space="preserve">     EPA+DHA : réduction de l’activation </w:t>
            </w:r>
            <w:proofErr w:type="spellStart"/>
            <w:r>
              <w:rPr>
                <w:sz w:val="21"/>
                <w:szCs w:val="21"/>
              </w:rPr>
              <w:t>microgliale</w:t>
            </w:r>
            <w:proofErr w:type="spellEnd"/>
            <w:r>
              <w:rPr>
                <w:sz w:val="21"/>
                <w:szCs w:val="21"/>
              </w:rPr>
              <w:t xml:space="preserve"> → moins de </w:t>
            </w:r>
            <w:proofErr w:type="spellStart"/>
            <w:r>
              <w:rPr>
                <w:sz w:val="21"/>
                <w:szCs w:val="21"/>
              </w:rPr>
              <w:t>neuroinflammation</w:t>
            </w:r>
            <w:proofErr w:type="spellEnd"/>
            <w:r>
              <w:rPr>
                <w:sz w:val="21"/>
                <w:szCs w:val="21"/>
              </w:rPr>
              <w:t>.</w:t>
            </w:r>
          </w:p>
          <w:p w14:paraId="17F8E51D" w14:textId="77777777" w:rsidR="00EB3894" w:rsidRDefault="00187C97">
            <w:pPr>
              <w:spacing w:before="28" w:after="28"/>
              <w:jc w:val="both"/>
            </w:pPr>
            <w:r>
              <w:rPr>
                <w:sz w:val="21"/>
                <w:szCs w:val="21"/>
              </w:rPr>
              <w:t xml:space="preserve">     DHA : soutien de la synthèse de </w:t>
            </w:r>
            <w:proofErr w:type="spellStart"/>
            <w:r>
              <w:rPr>
                <w:sz w:val="21"/>
                <w:szCs w:val="21"/>
              </w:rPr>
              <w:t>phosphatidylsérine</w:t>
            </w:r>
            <w:proofErr w:type="spellEnd"/>
            <w:r>
              <w:rPr>
                <w:sz w:val="21"/>
                <w:szCs w:val="21"/>
              </w:rPr>
              <w:t xml:space="preserve"> (composant clé des membranes </w:t>
            </w:r>
            <w:proofErr w:type="spellStart"/>
            <w:r>
              <w:rPr>
                <w:sz w:val="21"/>
                <w:szCs w:val="21"/>
              </w:rPr>
              <w:t>neuronales</w:t>
            </w:r>
            <w:proofErr w:type="spellEnd"/>
            <w:r>
              <w:rPr>
                <w:sz w:val="21"/>
                <w:szCs w:val="21"/>
              </w:rPr>
              <w:t>).</w:t>
            </w:r>
          </w:p>
        </w:tc>
      </w:tr>
    </w:tbl>
    <w:p w14:paraId="6A74605E" w14:textId="77777777" w:rsidR="00EB3894" w:rsidRDefault="00EB3894">
      <w:pPr>
        <w:spacing w:before="80"/>
      </w:pPr>
    </w:p>
    <w:p w14:paraId="0DA1DADB" w14:textId="77777777" w:rsidR="00EB3894" w:rsidRDefault="00187C97">
      <w:pPr>
        <w:spacing w:before="60" w:after="60"/>
        <w:jc w:val="both"/>
      </w:pPr>
      <w:r>
        <w:rPr>
          <w:b/>
          <w:bCs/>
          <w:color w:val="E8835A"/>
        </w:rPr>
        <w:t xml:space="preserve">Posologie : </w:t>
      </w:r>
      <w:r>
        <w:t>500 mg EPA + 250 mg DHA par jour en complément. Sources alimentaires : sardines, maquereaux, harengs, saumon (3 fois/semaine). Éviter les huiles de poisson oxydées : choisir des produits avec certification TOTOX.</w:t>
      </w:r>
    </w:p>
    <w:p w14:paraId="1555BBD5" w14:textId="77777777" w:rsidR="00EB3894" w:rsidRDefault="00187C97">
      <w:r>
        <w:br w:type="page"/>
      </w:r>
    </w:p>
    <w:p w14:paraId="15139DAB" w14:textId="77777777" w:rsidR="00EB3894" w:rsidRDefault="00187C97">
      <w:pPr>
        <w:pBdr>
          <w:bottom w:val="single" w:sz="12" w:space="4" w:color="E8835A"/>
        </w:pBdr>
        <w:spacing w:before="280" w:after="110"/>
      </w:pPr>
      <w:r>
        <w:rPr>
          <w:b/>
          <w:bCs/>
          <w:color w:val="4B3F8F"/>
          <w:sz w:val="27"/>
          <w:szCs w:val="27"/>
        </w:rPr>
        <w:lastRenderedPageBreak/>
        <w:t>4. Les antioxydants : comprendre le système de défense</w:t>
      </w:r>
    </w:p>
    <w:p w14:paraId="2C9460F2" w14:textId="77777777" w:rsidR="00EB3894" w:rsidRDefault="00187C97">
      <w:pPr>
        <w:spacing w:before="60" w:after="60"/>
        <w:jc w:val="both"/>
      </w:pPr>
      <w:r>
        <w:t xml:space="preserve">Le stress oxydant est une composante centrale de toutes les MND. Il résulte d’un déséquilibre entre la production de ROS (Espèces Réactives de l’Oxygène) et les capacités </w:t>
      </w:r>
      <w:proofErr w:type="spellStart"/>
      <w:r>
        <w:t>antioxydantes</w:t>
      </w:r>
      <w:proofErr w:type="spellEnd"/>
      <w:r>
        <w:t xml:space="preserve"> de la cellule. Les ROS sont inévitables car ils sont produits lors du métabolisme normal de l’oxygène, notamment dans les </w:t>
      </w:r>
      <w:proofErr w:type="spellStart"/>
      <w:r>
        <w:t>mitochondries</w:t>
      </w:r>
      <w:proofErr w:type="spellEnd"/>
      <w:r>
        <w:t>. Le cerveau y est particulièrement sensible car il consomme beaucoup d’oxygène et ses neurones sont riches en acides gras facilement oxydables.</w:t>
      </w:r>
    </w:p>
    <w:p w14:paraId="5357E3C1" w14:textId="77777777" w:rsidR="00EB3894" w:rsidRDefault="00EB3894">
      <w:pPr>
        <w:spacing w:before="80"/>
      </w:pPr>
    </w:p>
    <w:p w14:paraId="6DC933A9" w14:textId="77777777" w:rsidR="00EB3894" w:rsidRDefault="00187C97">
      <w:pPr>
        <w:spacing w:before="200" w:after="80"/>
      </w:pPr>
      <w:r>
        <w:rPr>
          <w:b/>
          <w:bCs/>
          <w:color w:val="E8835A"/>
          <w:sz w:val="24"/>
          <w:szCs w:val="24"/>
        </w:rPr>
        <w:t>Les trois lignes de défense enzymatiques</w:t>
      </w:r>
    </w:p>
    <w:p w14:paraId="5ACFBE59" w14:textId="77777777" w:rsidR="00EB3894" w:rsidRDefault="00187C97">
      <w:pPr>
        <w:spacing w:before="60" w:after="60"/>
        <w:jc w:val="both"/>
      </w:pPr>
      <w:r>
        <w:t xml:space="preserve">La défense </w:t>
      </w:r>
      <w:proofErr w:type="spellStart"/>
      <w:r>
        <w:t>antioxydante</w:t>
      </w:r>
      <w:proofErr w:type="spellEnd"/>
      <w:r>
        <w:t xml:space="preserve"> la plus puissante est </w:t>
      </w:r>
      <w:r>
        <w:rPr>
          <w:b/>
          <w:bCs/>
          <w:color w:val="4B3F8F"/>
        </w:rPr>
        <w:t>endogène</w:t>
      </w:r>
      <w:r>
        <w:t xml:space="preserve"> : le corps la fabrique lui-même. Elle repose sur trois enzymes principales qui fonctionnent en cascade et dont l’activité dépend de cofacteurs minéraux précis.</w:t>
      </w:r>
    </w:p>
    <w:p w14:paraId="6EC64202" w14:textId="77777777" w:rsidR="00EB3894" w:rsidRDefault="00EB389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26"/>
        <w:gridCol w:w="1800"/>
        <w:gridCol w:w="2600"/>
      </w:tblGrid>
      <w:tr w:rsidR="00EB3894" w14:paraId="27A9B6F5" w14:textId="77777777">
        <w:tblPrEx>
          <w:tblCellMar>
            <w:top w:w="0" w:type="dxa"/>
            <w:bottom w:w="0" w:type="dxa"/>
          </w:tblCellMar>
        </w:tblPrEx>
        <w:tc>
          <w:tcPr>
            <w:tcW w:w="2000"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46DF3339" w14:textId="77777777" w:rsidR="00EB3894" w:rsidRDefault="00187C97">
            <w:pPr>
              <w:jc w:val="center"/>
            </w:pPr>
            <w:r>
              <w:rPr>
                <w:b/>
                <w:bCs/>
                <w:color w:val="FFFFFF"/>
                <w:sz w:val="21"/>
                <w:szCs w:val="21"/>
              </w:rPr>
              <w:t>Enzyme</w:t>
            </w:r>
          </w:p>
        </w:tc>
        <w:tc>
          <w:tcPr>
            <w:tcW w:w="2626"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7BBCEC24" w14:textId="77777777" w:rsidR="00EB3894" w:rsidRDefault="00187C97">
            <w:pPr>
              <w:jc w:val="center"/>
            </w:pPr>
            <w:r>
              <w:rPr>
                <w:b/>
                <w:bCs/>
                <w:color w:val="FFFFFF"/>
                <w:sz w:val="21"/>
                <w:szCs w:val="21"/>
              </w:rPr>
              <w:t>Réaction chimique</w:t>
            </w:r>
          </w:p>
        </w:tc>
        <w:tc>
          <w:tcPr>
            <w:tcW w:w="1800"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19BC2A80" w14:textId="77777777" w:rsidR="00EB3894" w:rsidRDefault="00187C97">
            <w:pPr>
              <w:jc w:val="center"/>
            </w:pPr>
            <w:r>
              <w:rPr>
                <w:b/>
                <w:bCs/>
                <w:color w:val="FFFFFF"/>
                <w:sz w:val="21"/>
                <w:szCs w:val="21"/>
              </w:rPr>
              <w:t>Cofacteurs</w:t>
            </w:r>
          </w:p>
        </w:tc>
        <w:tc>
          <w:tcPr>
            <w:tcW w:w="2600"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62B728EB" w14:textId="77777777" w:rsidR="00EB3894" w:rsidRDefault="00187C97">
            <w:pPr>
              <w:jc w:val="center"/>
            </w:pPr>
            <w:r>
              <w:rPr>
                <w:b/>
                <w:bCs/>
                <w:color w:val="FFFFFF"/>
                <w:sz w:val="21"/>
                <w:szCs w:val="21"/>
              </w:rPr>
              <w:t>Conséquence si déficient</w:t>
            </w:r>
          </w:p>
        </w:tc>
      </w:tr>
      <w:tr w:rsidR="00EB3894" w14:paraId="412C35DB" w14:textId="77777777">
        <w:tblPrEx>
          <w:tblCellMar>
            <w:top w:w="0" w:type="dxa"/>
            <w:bottom w:w="0" w:type="dxa"/>
          </w:tblCellMar>
        </w:tblPrEx>
        <w:tc>
          <w:tcPr>
            <w:tcW w:w="20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34DCAAF3" w14:textId="77777777" w:rsidR="00EB3894" w:rsidRDefault="00187C97">
            <w:pPr>
              <w:spacing w:before="30" w:after="30"/>
            </w:pPr>
            <w:r>
              <w:rPr>
                <w:b/>
                <w:bCs/>
                <w:color w:val="4B3F8F"/>
                <w:sz w:val="20"/>
                <w:szCs w:val="20"/>
              </w:rPr>
              <w:t xml:space="preserve">SOD </w:t>
            </w:r>
            <w:r>
              <w:rPr>
                <w:b/>
                <w:bCs/>
                <w:color w:val="4B3F8F"/>
                <w:sz w:val="20"/>
                <w:szCs w:val="20"/>
              </w:rPr>
              <w:t>(</w:t>
            </w:r>
            <w:proofErr w:type="spellStart"/>
            <w:r>
              <w:rPr>
                <w:b/>
                <w:bCs/>
                <w:color w:val="4B3F8F"/>
                <w:sz w:val="20"/>
                <w:szCs w:val="20"/>
              </w:rPr>
              <w:t>Superoxyde</w:t>
            </w:r>
            <w:proofErr w:type="spellEnd"/>
            <w:r>
              <w:rPr>
                <w:b/>
                <w:bCs/>
                <w:color w:val="4B3F8F"/>
                <w:sz w:val="20"/>
                <w:szCs w:val="20"/>
              </w:rPr>
              <w:t xml:space="preserve"> </w:t>
            </w:r>
            <w:proofErr w:type="spellStart"/>
            <w:r>
              <w:rPr>
                <w:b/>
                <w:bCs/>
                <w:color w:val="4B3F8F"/>
                <w:sz w:val="20"/>
                <w:szCs w:val="20"/>
              </w:rPr>
              <w:t>dismutase</w:t>
            </w:r>
            <w:proofErr w:type="spellEnd"/>
            <w:r>
              <w:rPr>
                <w:b/>
                <w:bCs/>
                <w:color w:val="4B3F8F"/>
                <w:sz w:val="20"/>
                <w:szCs w:val="20"/>
              </w:rPr>
              <w:t>)</w:t>
            </w:r>
          </w:p>
        </w:tc>
        <w:tc>
          <w:tcPr>
            <w:tcW w:w="26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1096ECDE" w14:textId="77777777" w:rsidR="00EB3894" w:rsidRDefault="00187C97">
            <w:pPr>
              <w:spacing w:before="30" w:after="30"/>
            </w:pPr>
            <w:r>
              <w:rPr>
                <w:i/>
                <w:iCs/>
                <w:sz w:val="19"/>
                <w:szCs w:val="19"/>
              </w:rPr>
              <w:t xml:space="preserve">O₂°⁻ + O₂°⁻ + 2H⁺ → H₂O₂ + O₂ Neutralise les radicaux </w:t>
            </w:r>
            <w:proofErr w:type="spellStart"/>
            <w:r>
              <w:rPr>
                <w:i/>
                <w:iCs/>
                <w:sz w:val="19"/>
                <w:szCs w:val="19"/>
              </w:rPr>
              <w:t>superoxydes</w:t>
            </w:r>
            <w:proofErr w:type="spellEnd"/>
          </w:p>
        </w:tc>
        <w:tc>
          <w:tcPr>
            <w:tcW w:w="1800" w:type="dxa"/>
            <w:tcBorders>
              <w:top w:val="single" w:sz="4" w:space="0" w:color="C4B8F0"/>
              <w:left w:val="single" w:sz="4" w:space="0" w:color="C4B8F0"/>
              <w:bottom w:val="single" w:sz="4" w:space="0" w:color="C4B8F0"/>
              <w:right w:val="single" w:sz="4" w:space="0" w:color="C4B8F0"/>
            </w:tcBorders>
            <w:shd w:val="clear" w:color="auto" w:fill="E2F4F2"/>
            <w:tcMar>
              <w:top w:w="90" w:type="dxa"/>
              <w:left w:w="150" w:type="dxa"/>
              <w:bottom w:w="90" w:type="dxa"/>
              <w:right w:w="100" w:type="dxa"/>
            </w:tcMar>
            <w:vAlign w:val="center"/>
          </w:tcPr>
          <w:p w14:paraId="0909CA28" w14:textId="77777777" w:rsidR="00EB3894" w:rsidRDefault="00187C97">
            <w:pPr>
              <w:spacing w:before="30" w:after="30"/>
            </w:pPr>
            <w:r>
              <w:rPr>
                <w:b/>
                <w:bCs/>
                <w:color w:val="1B7A6E"/>
                <w:sz w:val="20"/>
                <w:szCs w:val="20"/>
              </w:rPr>
              <w:t>Zinc (Zn) Cuivre (Cu) Manganèse (Mn)</w:t>
            </w:r>
          </w:p>
        </w:tc>
        <w:tc>
          <w:tcPr>
            <w:tcW w:w="26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579D1B46" w14:textId="77777777" w:rsidR="00EB3894" w:rsidRDefault="00187C97">
            <w:pPr>
              <w:spacing w:before="30" w:after="30"/>
            </w:pPr>
            <w:r>
              <w:rPr>
                <w:sz w:val="20"/>
                <w:szCs w:val="20"/>
              </w:rPr>
              <w:t xml:space="preserve">Accumulation de radicaux </w:t>
            </w:r>
            <w:proofErr w:type="spellStart"/>
            <w:r>
              <w:rPr>
                <w:sz w:val="20"/>
                <w:szCs w:val="20"/>
              </w:rPr>
              <w:t>superoxydes</w:t>
            </w:r>
            <w:proofErr w:type="spellEnd"/>
            <w:r>
              <w:rPr>
                <w:sz w:val="20"/>
                <w:szCs w:val="20"/>
              </w:rPr>
              <w:t xml:space="preserve"> très toxiques pour les neurones</w:t>
            </w:r>
          </w:p>
        </w:tc>
      </w:tr>
      <w:tr w:rsidR="00EB3894" w14:paraId="7A526B6C" w14:textId="77777777">
        <w:tblPrEx>
          <w:tblCellMar>
            <w:top w:w="0" w:type="dxa"/>
            <w:bottom w:w="0" w:type="dxa"/>
          </w:tblCellMar>
        </w:tblPrEx>
        <w:tc>
          <w:tcPr>
            <w:tcW w:w="20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581ADBD6" w14:textId="77777777" w:rsidR="00EB3894" w:rsidRDefault="00187C97">
            <w:pPr>
              <w:spacing w:before="30" w:after="30"/>
            </w:pPr>
            <w:r>
              <w:rPr>
                <w:b/>
                <w:bCs/>
                <w:color w:val="4B3F8F"/>
                <w:sz w:val="20"/>
                <w:szCs w:val="20"/>
              </w:rPr>
              <w:t>CAT (</w:t>
            </w:r>
            <w:proofErr w:type="spellStart"/>
            <w:r>
              <w:rPr>
                <w:b/>
                <w:bCs/>
                <w:color w:val="4B3F8F"/>
                <w:sz w:val="20"/>
                <w:szCs w:val="20"/>
              </w:rPr>
              <w:t>Catalase</w:t>
            </w:r>
            <w:proofErr w:type="spellEnd"/>
            <w:r>
              <w:rPr>
                <w:b/>
                <w:bCs/>
                <w:color w:val="4B3F8F"/>
                <w:sz w:val="20"/>
                <w:szCs w:val="20"/>
              </w:rPr>
              <w:t>)</w:t>
            </w:r>
          </w:p>
        </w:tc>
        <w:tc>
          <w:tcPr>
            <w:tcW w:w="2626" w:type="dxa"/>
            <w:tcBorders>
              <w:top w:val="single" w:sz="4" w:space="0" w:color="C4B8F0"/>
              <w:left w:val="single" w:sz="4" w:space="0" w:color="C4B8F0"/>
              <w:bottom w:val="single" w:sz="4" w:space="0" w:color="C4B8F0"/>
              <w:right w:val="single" w:sz="4" w:space="0" w:color="C4B8F0"/>
            </w:tcBorders>
            <w:shd w:val="clear" w:color="auto" w:fill="F5F5F7"/>
            <w:tcMar>
              <w:top w:w="90" w:type="dxa"/>
              <w:left w:w="150" w:type="dxa"/>
              <w:bottom w:w="90" w:type="dxa"/>
              <w:right w:w="100" w:type="dxa"/>
            </w:tcMar>
            <w:vAlign w:val="center"/>
          </w:tcPr>
          <w:p w14:paraId="1970934F" w14:textId="77777777" w:rsidR="00EB3894" w:rsidRDefault="00187C97">
            <w:pPr>
              <w:spacing w:before="30" w:after="30"/>
            </w:pPr>
            <w:r>
              <w:rPr>
                <w:i/>
                <w:iCs/>
                <w:sz w:val="19"/>
                <w:szCs w:val="19"/>
              </w:rPr>
              <w:t>2 H₂O₂ → 2 H₂O + O₂ Décompose le peroxyde d’hydrogène</w:t>
            </w:r>
          </w:p>
        </w:tc>
        <w:tc>
          <w:tcPr>
            <w:tcW w:w="18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0ED00D20" w14:textId="77777777" w:rsidR="00EB3894" w:rsidRDefault="00187C97">
            <w:pPr>
              <w:spacing w:before="30" w:after="30"/>
            </w:pPr>
            <w:r>
              <w:rPr>
                <w:b/>
                <w:bCs/>
                <w:color w:val="1B7A6E"/>
                <w:sz w:val="20"/>
                <w:szCs w:val="20"/>
              </w:rPr>
              <w:t>Fer (Fe) Manganèse (Mn)</w:t>
            </w:r>
          </w:p>
        </w:tc>
        <w:tc>
          <w:tcPr>
            <w:tcW w:w="2600" w:type="dxa"/>
            <w:tcBorders>
              <w:top w:val="single" w:sz="4" w:space="0" w:color="C4B8F0"/>
              <w:left w:val="single" w:sz="4" w:space="0" w:color="C4B8F0"/>
              <w:bottom w:val="single" w:sz="4" w:space="0" w:color="C4B8F0"/>
              <w:right w:val="single" w:sz="4" w:space="0" w:color="C4B8F0"/>
            </w:tcBorders>
            <w:shd w:val="clear" w:color="auto" w:fill="F5F5F7"/>
            <w:tcMar>
              <w:top w:w="90" w:type="dxa"/>
              <w:left w:w="150" w:type="dxa"/>
              <w:bottom w:w="90" w:type="dxa"/>
              <w:right w:w="100" w:type="dxa"/>
            </w:tcMar>
            <w:vAlign w:val="center"/>
          </w:tcPr>
          <w:p w14:paraId="5E944CC8" w14:textId="77777777" w:rsidR="00EB3894" w:rsidRDefault="00187C97">
            <w:pPr>
              <w:spacing w:before="30" w:after="30"/>
            </w:pPr>
            <w:r>
              <w:rPr>
                <w:sz w:val="20"/>
                <w:szCs w:val="20"/>
              </w:rPr>
              <w:t xml:space="preserve">H₂O₂ non éliminé → réaction de Fenton → radicaux </w:t>
            </w:r>
            <w:proofErr w:type="spellStart"/>
            <w:r>
              <w:rPr>
                <w:sz w:val="20"/>
                <w:szCs w:val="20"/>
              </w:rPr>
              <w:t>hydroxyles</w:t>
            </w:r>
            <w:proofErr w:type="spellEnd"/>
            <w:r>
              <w:rPr>
                <w:sz w:val="20"/>
                <w:szCs w:val="20"/>
              </w:rPr>
              <w:t xml:space="preserve"> ultra-toxiques</w:t>
            </w:r>
          </w:p>
        </w:tc>
      </w:tr>
      <w:tr w:rsidR="00EB3894" w14:paraId="690F1D9E" w14:textId="77777777">
        <w:tblPrEx>
          <w:tblCellMar>
            <w:top w:w="0" w:type="dxa"/>
            <w:bottom w:w="0" w:type="dxa"/>
          </w:tblCellMar>
        </w:tblPrEx>
        <w:tc>
          <w:tcPr>
            <w:tcW w:w="20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46EFF51C" w14:textId="77777777" w:rsidR="00EB3894" w:rsidRDefault="00187C97">
            <w:pPr>
              <w:spacing w:before="30" w:after="30"/>
            </w:pPr>
            <w:proofErr w:type="spellStart"/>
            <w:r>
              <w:rPr>
                <w:b/>
                <w:bCs/>
                <w:color w:val="4B3F8F"/>
                <w:sz w:val="20"/>
                <w:szCs w:val="20"/>
              </w:rPr>
              <w:t>GPx</w:t>
            </w:r>
            <w:proofErr w:type="spellEnd"/>
            <w:r>
              <w:rPr>
                <w:b/>
                <w:bCs/>
                <w:color w:val="4B3F8F"/>
                <w:sz w:val="20"/>
                <w:szCs w:val="20"/>
              </w:rPr>
              <w:t xml:space="preserve"> </w:t>
            </w:r>
            <w:r>
              <w:rPr>
                <w:b/>
                <w:bCs/>
                <w:color w:val="4B3F8F"/>
                <w:sz w:val="20"/>
                <w:szCs w:val="20"/>
              </w:rPr>
              <w:t>(</w:t>
            </w:r>
            <w:proofErr w:type="spellStart"/>
            <w:r>
              <w:rPr>
                <w:b/>
                <w:bCs/>
                <w:color w:val="4B3F8F"/>
                <w:sz w:val="20"/>
                <w:szCs w:val="20"/>
              </w:rPr>
              <w:t>Glutathion</w:t>
            </w:r>
            <w:proofErr w:type="spellEnd"/>
            <w:r>
              <w:rPr>
                <w:b/>
                <w:bCs/>
                <w:color w:val="4B3F8F"/>
                <w:sz w:val="20"/>
                <w:szCs w:val="20"/>
              </w:rPr>
              <w:t xml:space="preserve"> peroxydase)</w:t>
            </w:r>
          </w:p>
        </w:tc>
        <w:tc>
          <w:tcPr>
            <w:tcW w:w="26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7E9B1C25" w14:textId="77777777" w:rsidR="00EB3894" w:rsidRDefault="00187C97">
            <w:pPr>
              <w:spacing w:before="30" w:after="30"/>
            </w:pPr>
            <w:r>
              <w:rPr>
                <w:i/>
                <w:iCs/>
                <w:sz w:val="19"/>
                <w:szCs w:val="19"/>
              </w:rPr>
              <w:t xml:space="preserve">2 GSH + H₂O₂ → GSSG + 2 H₂O Réduit H₂O₂ et les </w:t>
            </w:r>
            <w:proofErr w:type="spellStart"/>
            <w:r>
              <w:rPr>
                <w:i/>
                <w:iCs/>
                <w:sz w:val="19"/>
                <w:szCs w:val="19"/>
              </w:rPr>
              <w:t>hydroperoxydes</w:t>
            </w:r>
            <w:proofErr w:type="spellEnd"/>
            <w:r>
              <w:rPr>
                <w:i/>
                <w:iCs/>
                <w:sz w:val="19"/>
                <w:szCs w:val="19"/>
              </w:rPr>
              <w:t xml:space="preserve"> lipidiques</w:t>
            </w:r>
          </w:p>
        </w:tc>
        <w:tc>
          <w:tcPr>
            <w:tcW w:w="1800" w:type="dxa"/>
            <w:tcBorders>
              <w:top w:val="single" w:sz="4" w:space="0" w:color="C4B8F0"/>
              <w:left w:val="single" w:sz="4" w:space="0" w:color="C4B8F0"/>
              <w:bottom w:val="single" w:sz="4" w:space="0" w:color="C4B8F0"/>
              <w:right w:val="single" w:sz="4" w:space="0" w:color="C4B8F0"/>
            </w:tcBorders>
            <w:shd w:val="clear" w:color="auto" w:fill="E2F4F2"/>
            <w:tcMar>
              <w:top w:w="90" w:type="dxa"/>
              <w:left w:w="150" w:type="dxa"/>
              <w:bottom w:w="90" w:type="dxa"/>
              <w:right w:w="100" w:type="dxa"/>
            </w:tcMar>
            <w:vAlign w:val="center"/>
          </w:tcPr>
          <w:p w14:paraId="1F93A3A4" w14:textId="77777777" w:rsidR="00EB3894" w:rsidRDefault="00187C97">
            <w:pPr>
              <w:spacing w:before="30" w:after="30"/>
            </w:pPr>
            <w:r>
              <w:rPr>
                <w:b/>
                <w:bCs/>
                <w:color w:val="1B7A6E"/>
                <w:sz w:val="20"/>
                <w:szCs w:val="20"/>
              </w:rPr>
              <w:t xml:space="preserve">Sélénium (Se) </w:t>
            </w:r>
            <w:proofErr w:type="spellStart"/>
            <w:r>
              <w:rPr>
                <w:b/>
                <w:bCs/>
                <w:color w:val="1B7A6E"/>
                <w:sz w:val="20"/>
                <w:szCs w:val="20"/>
              </w:rPr>
              <w:t>Glutathion</w:t>
            </w:r>
            <w:proofErr w:type="spellEnd"/>
            <w:r>
              <w:rPr>
                <w:b/>
                <w:bCs/>
                <w:color w:val="1B7A6E"/>
                <w:sz w:val="20"/>
                <w:szCs w:val="20"/>
              </w:rPr>
              <w:t xml:space="preserve"> (GSH)</w:t>
            </w:r>
          </w:p>
        </w:tc>
        <w:tc>
          <w:tcPr>
            <w:tcW w:w="26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7DF98924" w14:textId="77777777" w:rsidR="00EB3894" w:rsidRDefault="00187C97">
            <w:pPr>
              <w:spacing w:before="30" w:after="30"/>
            </w:pPr>
            <w:proofErr w:type="spellStart"/>
            <w:r>
              <w:rPr>
                <w:sz w:val="20"/>
                <w:szCs w:val="20"/>
              </w:rPr>
              <w:t>Peroxydation</w:t>
            </w:r>
            <w:proofErr w:type="spellEnd"/>
            <w:r>
              <w:rPr>
                <w:sz w:val="20"/>
                <w:szCs w:val="20"/>
              </w:rPr>
              <w:t xml:space="preserve"> lipidique des membranes </w:t>
            </w:r>
            <w:proofErr w:type="spellStart"/>
            <w:r>
              <w:rPr>
                <w:sz w:val="20"/>
                <w:szCs w:val="20"/>
              </w:rPr>
              <w:t>neuronales</w:t>
            </w:r>
            <w:proofErr w:type="spellEnd"/>
            <w:r>
              <w:rPr>
                <w:sz w:val="20"/>
                <w:szCs w:val="20"/>
              </w:rPr>
              <w:t xml:space="preserve"> → perte de fluidité et mort cellulaire</w:t>
            </w:r>
          </w:p>
        </w:tc>
      </w:tr>
    </w:tbl>
    <w:p w14:paraId="03F013B0" w14:textId="77777777" w:rsidR="00EB3894" w:rsidRDefault="00EB3894">
      <w:pPr>
        <w:spacing w:before="80"/>
      </w:pPr>
    </w:p>
    <w:p w14:paraId="2C2FFFE2" w14:textId="77777777" w:rsidR="00EB3894" w:rsidRDefault="00187C97">
      <w:pPr>
        <w:spacing w:before="200" w:after="80"/>
      </w:pPr>
      <w:r>
        <w:rPr>
          <w:b/>
          <w:bCs/>
          <w:color w:val="E8835A"/>
          <w:sz w:val="24"/>
          <w:szCs w:val="24"/>
        </w:rPr>
        <w:t xml:space="preserve">Le </w:t>
      </w:r>
      <w:proofErr w:type="spellStart"/>
      <w:r>
        <w:rPr>
          <w:b/>
          <w:bCs/>
          <w:color w:val="E8835A"/>
          <w:sz w:val="24"/>
          <w:szCs w:val="24"/>
        </w:rPr>
        <w:t>glutathion</w:t>
      </w:r>
      <w:proofErr w:type="spellEnd"/>
      <w:r>
        <w:rPr>
          <w:b/>
          <w:bCs/>
          <w:color w:val="E8835A"/>
          <w:sz w:val="24"/>
          <w:szCs w:val="24"/>
        </w:rPr>
        <w:t xml:space="preserve"> : l’antioxydant maître</w:t>
      </w:r>
    </w:p>
    <w:p w14:paraId="48785CBD" w14:textId="77777777" w:rsidR="00EB3894" w:rsidRDefault="00187C97">
      <w:pPr>
        <w:spacing w:before="60" w:after="60"/>
        <w:jc w:val="both"/>
      </w:pPr>
      <w:r>
        <w:t xml:space="preserve">Le </w:t>
      </w:r>
      <w:proofErr w:type="spellStart"/>
      <w:r>
        <w:rPr>
          <w:b/>
          <w:bCs/>
          <w:color w:val="4B3F8F"/>
        </w:rPr>
        <w:t>glutathion</w:t>
      </w:r>
      <w:proofErr w:type="spellEnd"/>
      <w:r>
        <w:rPr>
          <w:b/>
          <w:bCs/>
          <w:color w:val="4B3F8F"/>
        </w:rPr>
        <w:t xml:space="preserve"> (GSH)</w:t>
      </w:r>
      <w:r>
        <w:t xml:space="preserve"> est le principal antioxydant intracellulaire du cerveau. Il joue plusieurs rôles : substrat de la </w:t>
      </w:r>
      <w:proofErr w:type="spellStart"/>
      <w:r>
        <w:t>GPx</w:t>
      </w:r>
      <w:proofErr w:type="spellEnd"/>
      <w:r>
        <w:t xml:space="preserve"> pour neutraliser les ROS, régénération de la vitamine C et E oxydées, et conjugaison des métaux lourds pour les éliminer. Sa synthèse requiert trois acides aminés : glycine, glutamate et </w:t>
      </w:r>
      <w:proofErr w:type="spellStart"/>
      <w:r>
        <w:rPr>
          <w:b/>
          <w:bCs/>
          <w:color w:val="4B3F8F"/>
        </w:rPr>
        <w:t>cystéine</w:t>
      </w:r>
      <w:proofErr w:type="spellEnd"/>
      <w:r>
        <w:t xml:space="preserve">, dont la dernière est souvent le facteur limitant. La </w:t>
      </w:r>
      <w:r>
        <w:rPr>
          <w:b/>
          <w:bCs/>
          <w:color w:val="4B3F8F"/>
        </w:rPr>
        <w:t>NAC (</w:t>
      </w:r>
      <w:proofErr w:type="spellStart"/>
      <w:r>
        <w:rPr>
          <w:b/>
          <w:bCs/>
          <w:color w:val="4B3F8F"/>
        </w:rPr>
        <w:t>N-acétyl-cystéine</w:t>
      </w:r>
      <w:proofErr w:type="spellEnd"/>
      <w:r>
        <w:rPr>
          <w:b/>
          <w:bCs/>
          <w:color w:val="4B3F8F"/>
        </w:rPr>
        <w:t>)</w:t>
      </w:r>
      <w:r>
        <w:t xml:space="preserve"> est un précurseur de la </w:t>
      </w:r>
      <w:proofErr w:type="spellStart"/>
      <w:r>
        <w:t>cystéine</w:t>
      </w:r>
      <w:proofErr w:type="spellEnd"/>
      <w:r>
        <w:t xml:space="preserve"> : </w:t>
      </w:r>
      <w:proofErr w:type="spellStart"/>
      <w:r>
        <w:t>supplémenter</w:t>
      </w:r>
      <w:proofErr w:type="spellEnd"/>
      <w:r>
        <w:t xml:space="preserve"> en NAC revient à « recharger la fabrique » de </w:t>
      </w:r>
      <w:proofErr w:type="spellStart"/>
      <w:r>
        <w:t>glutathion</w:t>
      </w:r>
      <w:proofErr w:type="spellEnd"/>
      <w:r>
        <w:t>. Sa synthèse diminue naturelle</w:t>
      </w:r>
      <w:r>
        <w:t>ment avec l’âge.</w:t>
      </w:r>
    </w:p>
    <w:p w14:paraId="4C8A9E1E" w14:textId="77777777" w:rsidR="00EB3894" w:rsidRDefault="00EB3894">
      <w:pPr>
        <w:spacing w:before="80"/>
      </w:pPr>
    </w:p>
    <w:p w14:paraId="7CE0CE78" w14:textId="77777777" w:rsidR="00EB3894" w:rsidRDefault="00187C97">
      <w:pPr>
        <w:spacing w:before="200" w:after="80"/>
      </w:pPr>
      <w:r>
        <w:rPr>
          <w:b/>
          <w:bCs/>
          <w:color w:val="E8835A"/>
          <w:sz w:val="24"/>
          <w:szCs w:val="24"/>
        </w:rPr>
        <w:t xml:space="preserve">Le CoQ10 : antioxydant et carburant </w:t>
      </w:r>
      <w:proofErr w:type="spellStart"/>
      <w:r>
        <w:rPr>
          <w:b/>
          <w:bCs/>
          <w:color w:val="E8835A"/>
          <w:sz w:val="24"/>
          <w:szCs w:val="24"/>
        </w:rPr>
        <w:t>mitochondrial</w:t>
      </w:r>
      <w:proofErr w:type="spellEnd"/>
    </w:p>
    <w:p w14:paraId="575DCF2C" w14:textId="77777777" w:rsidR="00EB3894" w:rsidRDefault="00187C97">
      <w:pPr>
        <w:spacing w:before="60" w:after="60"/>
        <w:jc w:val="both"/>
      </w:pPr>
      <w:r>
        <w:t xml:space="preserve">Le coenzyme Q10 (ou </w:t>
      </w:r>
      <w:proofErr w:type="spellStart"/>
      <w:r>
        <w:t>ubiquinol</w:t>
      </w:r>
      <w:proofErr w:type="spellEnd"/>
      <w:r>
        <w:t xml:space="preserve"> sous sa forme réduite active) joue un double rôle : il est à la fois un </w:t>
      </w:r>
      <w:r>
        <w:rPr>
          <w:b/>
          <w:bCs/>
          <w:color w:val="4B3F8F"/>
        </w:rPr>
        <w:t>transporteur d’électrons indispensable</w:t>
      </w:r>
      <w:r>
        <w:t xml:space="preserve"> dans la chaîne respiratoire </w:t>
      </w:r>
      <w:proofErr w:type="spellStart"/>
      <w:r>
        <w:t>mitochondriale</w:t>
      </w:r>
      <w:proofErr w:type="spellEnd"/>
      <w:r>
        <w:t xml:space="preserve"> (production d’ATP) et un </w:t>
      </w:r>
      <w:r>
        <w:rPr>
          <w:b/>
          <w:bCs/>
          <w:color w:val="4B3F8F"/>
        </w:rPr>
        <w:t xml:space="preserve">antioxydant </w:t>
      </w:r>
      <w:proofErr w:type="spellStart"/>
      <w:r>
        <w:rPr>
          <w:b/>
          <w:bCs/>
          <w:color w:val="4B3F8F"/>
        </w:rPr>
        <w:t>membranaire</w:t>
      </w:r>
      <w:proofErr w:type="spellEnd"/>
      <w:r>
        <w:t xml:space="preserve"> qui protège les lipides des membranes contre la </w:t>
      </w:r>
      <w:proofErr w:type="spellStart"/>
      <w:r>
        <w:t>peroxydation</w:t>
      </w:r>
      <w:proofErr w:type="spellEnd"/>
      <w:r>
        <w:t xml:space="preserve">. Sa déficience prive les </w:t>
      </w:r>
      <w:proofErr w:type="spellStart"/>
      <w:r>
        <w:t>mitochondries</w:t>
      </w:r>
      <w:proofErr w:type="spellEnd"/>
      <w:r>
        <w:t xml:space="preserve"> de leur rendement maximal et aggrave le stress oxydant. Sa synthèse endogène décline après 40 ans. Les </w:t>
      </w:r>
      <w:proofErr w:type="spellStart"/>
      <w:r>
        <w:t>statines</w:t>
      </w:r>
      <w:proofErr w:type="spellEnd"/>
      <w:r>
        <w:t xml:space="preserve"> (médicaments </w:t>
      </w:r>
      <w:proofErr w:type="spellStart"/>
      <w:r>
        <w:t>anti-choléstérol</w:t>
      </w:r>
      <w:proofErr w:type="spellEnd"/>
      <w:r>
        <w:t>) inhibent également sa synthèse, ce qui est un point de v</w:t>
      </w:r>
      <w:r>
        <w:t>igilance clinique important.</w:t>
      </w:r>
    </w:p>
    <w:p w14:paraId="44E1B54F" w14:textId="77777777" w:rsidR="00EB3894" w:rsidRDefault="00EB3894">
      <w:pPr>
        <w:spacing w:before="80"/>
      </w:pPr>
    </w:p>
    <w:p w14:paraId="21F567E0" w14:textId="77777777" w:rsidR="00EB3894" w:rsidRDefault="00187C97">
      <w:pPr>
        <w:spacing w:before="200" w:after="80"/>
      </w:pPr>
      <w:r>
        <w:rPr>
          <w:b/>
          <w:bCs/>
          <w:color w:val="E8835A"/>
          <w:sz w:val="24"/>
          <w:szCs w:val="24"/>
        </w:rPr>
        <w:lastRenderedPageBreak/>
        <w:t xml:space="preserve">L’acide </w:t>
      </w:r>
      <w:proofErr w:type="spellStart"/>
      <w:r>
        <w:rPr>
          <w:b/>
          <w:bCs/>
          <w:color w:val="E8835A"/>
          <w:sz w:val="24"/>
          <w:szCs w:val="24"/>
        </w:rPr>
        <w:t>alpha-lipoïque</w:t>
      </w:r>
      <w:proofErr w:type="spellEnd"/>
      <w:r>
        <w:rPr>
          <w:b/>
          <w:bCs/>
          <w:color w:val="E8835A"/>
          <w:sz w:val="24"/>
          <w:szCs w:val="24"/>
        </w:rPr>
        <w:t xml:space="preserve"> : l’antioxydant universel</w:t>
      </w:r>
    </w:p>
    <w:p w14:paraId="5E9EBD7C" w14:textId="77777777" w:rsidR="00EB3894" w:rsidRDefault="00187C97">
      <w:pPr>
        <w:spacing w:before="60" w:after="60"/>
        <w:jc w:val="both"/>
      </w:pPr>
      <w:r>
        <w:t xml:space="preserve">L’acide </w:t>
      </w:r>
      <w:proofErr w:type="spellStart"/>
      <w:r>
        <w:t>alpha-lipoïque</w:t>
      </w:r>
      <w:proofErr w:type="spellEnd"/>
      <w:r>
        <w:t xml:space="preserve"> est unique car il est à la fois </w:t>
      </w:r>
      <w:r>
        <w:rPr>
          <w:b/>
          <w:bCs/>
          <w:color w:val="4B3F8F"/>
        </w:rPr>
        <w:t>hydrosoluble et liposoluble</w:t>
      </w:r>
      <w:r>
        <w:t xml:space="preserve">, lui permettant d’agir dans tous les compartiments cellulaires. Il </w:t>
      </w:r>
      <w:r>
        <w:rPr>
          <w:b/>
          <w:bCs/>
          <w:color w:val="4B3F8F"/>
        </w:rPr>
        <w:t xml:space="preserve">traverse la barrière </w:t>
      </w:r>
      <w:proofErr w:type="spellStart"/>
      <w:r>
        <w:rPr>
          <w:b/>
          <w:bCs/>
          <w:color w:val="4B3F8F"/>
        </w:rPr>
        <w:t>hémato-encéphalique</w:t>
      </w:r>
      <w:proofErr w:type="spellEnd"/>
      <w:r>
        <w:rPr>
          <w:b/>
          <w:bCs/>
          <w:color w:val="4B3F8F"/>
        </w:rPr>
        <w:t xml:space="preserve"> (BHE)</w:t>
      </w:r>
      <w:r>
        <w:t xml:space="preserve"> et peut régénérer la vitamine C, la vitamine E et le </w:t>
      </w:r>
      <w:proofErr w:type="spellStart"/>
      <w:r>
        <w:t>glutathion</w:t>
      </w:r>
      <w:proofErr w:type="spellEnd"/>
      <w:r>
        <w:t xml:space="preserve"> dans leur forme active. Il est également </w:t>
      </w:r>
      <w:proofErr w:type="spellStart"/>
      <w:r>
        <w:t>chélateur</w:t>
      </w:r>
      <w:proofErr w:type="spellEnd"/>
      <w:r>
        <w:t xml:space="preserve"> de métaux lourds </w:t>
      </w:r>
      <w:proofErr w:type="spellStart"/>
      <w:r>
        <w:t>neurotoxiques</w:t>
      </w:r>
      <w:proofErr w:type="spellEnd"/>
      <w:r>
        <w:t>. C’est l’un des rares antioxydants exogènes à agir directement dans le tissu cérébral.</w:t>
      </w:r>
    </w:p>
    <w:p w14:paraId="0AD83855" w14:textId="77777777" w:rsidR="00EB3894" w:rsidRDefault="00EB389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3894" w14:paraId="495DD04B" w14:textId="77777777">
        <w:tblPrEx>
          <w:tblCellMar>
            <w:top w:w="0" w:type="dxa"/>
            <w:bottom w:w="0" w:type="dxa"/>
          </w:tblCellMar>
        </w:tblPrEx>
        <w:tc>
          <w:tcPr>
            <w:tcW w:w="9026" w:type="dxa"/>
            <w:tcBorders>
              <w:top w:val="single" w:sz="14" w:space="0" w:color="E8835A"/>
              <w:left w:val="single" w:sz="28" w:space="0" w:color="E8835A"/>
              <w:bottom w:val="single" w:sz="4" w:space="0" w:color="E8835A"/>
              <w:right w:val="single" w:sz="4" w:space="0" w:color="E8835A"/>
            </w:tcBorders>
            <w:shd w:val="clear" w:color="auto" w:fill="FBF0EB"/>
            <w:tcMar>
              <w:top w:w="100" w:type="dxa"/>
              <w:left w:w="160" w:type="dxa"/>
              <w:bottom w:w="100" w:type="dxa"/>
              <w:right w:w="160" w:type="dxa"/>
            </w:tcMar>
          </w:tcPr>
          <w:p w14:paraId="23F5D924" w14:textId="77777777" w:rsidR="00EB3894" w:rsidRDefault="00187C97">
            <w:pPr>
              <w:spacing w:before="60" w:after="50"/>
            </w:pPr>
            <w:r>
              <w:rPr>
                <w:b/>
                <w:bCs/>
                <w:color w:val="E8835A"/>
              </w:rPr>
              <w:t xml:space="preserve">  ★  À retenir</w:t>
            </w:r>
          </w:p>
          <w:p w14:paraId="2997FFC3" w14:textId="77777777" w:rsidR="00EB3894" w:rsidRDefault="00187C97">
            <w:pPr>
              <w:spacing w:before="30" w:after="30"/>
            </w:pPr>
            <w:r>
              <w:rPr>
                <w:sz w:val="21"/>
                <w:szCs w:val="21"/>
              </w:rPr>
              <w:t xml:space="preserve">  ✓  Les antioxydants endogènes (SOD, CAT, </w:t>
            </w:r>
            <w:proofErr w:type="spellStart"/>
            <w:r>
              <w:rPr>
                <w:sz w:val="21"/>
                <w:szCs w:val="21"/>
              </w:rPr>
              <w:t>GPx</w:t>
            </w:r>
            <w:proofErr w:type="spellEnd"/>
            <w:r>
              <w:rPr>
                <w:sz w:val="21"/>
                <w:szCs w:val="21"/>
              </w:rPr>
              <w:t>, GSH, CoQ10) sont plus efficaces que les exogènes : privilégier leurs cofacteurs minéraux (Zn, Cu, Se, Mn, Fe).</w:t>
            </w:r>
          </w:p>
          <w:p w14:paraId="473BB2D5" w14:textId="77777777" w:rsidR="00EB3894" w:rsidRDefault="00187C97">
            <w:pPr>
              <w:spacing w:before="30" w:after="30"/>
            </w:pPr>
            <w:r>
              <w:rPr>
                <w:sz w:val="21"/>
                <w:szCs w:val="21"/>
              </w:rPr>
              <w:t xml:space="preserve">  ✓  NAC : le meilleur moyen de soutenir la synthèse de </w:t>
            </w:r>
            <w:proofErr w:type="spellStart"/>
            <w:r>
              <w:rPr>
                <w:sz w:val="21"/>
                <w:szCs w:val="21"/>
              </w:rPr>
              <w:t>glutathion</w:t>
            </w:r>
            <w:proofErr w:type="spellEnd"/>
            <w:r>
              <w:rPr>
                <w:sz w:val="21"/>
                <w:szCs w:val="21"/>
              </w:rPr>
              <w:t xml:space="preserve"> (limite souvent la </w:t>
            </w:r>
            <w:proofErr w:type="spellStart"/>
            <w:r>
              <w:rPr>
                <w:sz w:val="21"/>
                <w:szCs w:val="21"/>
              </w:rPr>
              <w:t>cystéine</w:t>
            </w:r>
            <w:proofErr w:type="spellEnd"/>
            <w:r>
              <w:rPr>
                <w:sz w:val="21"/>
                <w:szCs w:val="21"/>
              </w:rPr>
              <w:t>).</w:t>
            </w:r>
          </w:p>
          <w:p w14:paraId="58486ACC" w14:textId="77777777" w:rsidR="00EB3894" w:rsidRDefault="00187C97">
            <w:pPr>
              <w:spacing w:before="30" w:after="30"/>
            </w:pPr>
            <w:r>
              <w:rPr>
                <w:sz w:val="21"/>
                <w:szCs w:val="21"/>
              </w:rPr>
              <w:t xml:space="preserve">  ✓  CoQ10 : double rôle énergétique et antioxydant ; surveiller chez les patients sous </w:t>
            </w:r>
            <w:proofErr w:type="spellStart"/>
            <w:r>
              <w:rPr>
                <w:sz w:val="21"/>
                <w:szCs w:val="21"/>
              </w:rPr>
              <w:t>statines</w:t>
            </w:r>
            <w:proofErr w:type="spellEnd"/>
            <w:r>
              <w:rPr>
                <w:sz w:val="21"/>
                <w:szCs w:val="21"/>
              </w:rPr>
              <w:t>.</w:t>
            </w:r>
          </w:p>
          <w:p w14:paraId="6D35F0A5" w14:textId="77777777" w:rsidR="00EB3894" w:rsidRDefault="00187C97">
            <w:pPr>
              <w:spacing w:before="30" w:after="30"/>
            </w:pPr>
            <w:r>
              <w:rPr>
                <w:sz w:val="21"/>
                <w:szCs w:val="21"/>
              </w:rPr>
              <w:t xml:space="preserve">  ✓  Acide </w:t>
            </w:r>
            <w:proofErr w:type="spellStart"/>
            <w:r>
              <w:rPr>
                <w:sz w:val="21"/>
                <w:szCs w:val="21"/>
              </w:rPr>
              <w:t>alpha-lipoïque</w:t>
            </w:r>
            <w:proofErr w:type="spellEnd"/>
            <w:r>
              <w:rPr>
                <w:sz w:val="21"/>
                <w:szCs w:val="21"/>
              </w:rPr>
              <w:t xml:space="preserve"> : seul antioxydant à la fois hydro et liposoluble passant la BHE.</w:t>
            </w:r>
          </w:p>
        </w:tc>
      </w:tr>
    </w:tbl>
    <w:p w14:paraId="2F0CABBB" w14:textId="77777777" w:rsidR="00EB3894" w:rsidRDefault="00187C97">
      <w:r>
        <w:br w:type="page"/>
      </w:r>
    </w:p>
    <w:p w14:paraId="142500A6" w14:textId="77777777" w:rsidR="00EB3894" w:rsidRDefault="00187C97">
      <w:pPr>
        <w:pBdr>
          <w:bottom w:val="single" w:sz="12" w:space="4" w:color="E8835A"/>
        </w:pBdr>
        <w:spacing w:before="280" w:after="110"/>
      </w:pPr>
      <w:r>
        <w:rPr>
          <w:b/>
          <w:bCs/>
          <w:color w:val="4B3F8F"/>
          <w:sz w:val="27"/>
          <w:szCs w:val="27"/>
        </w:rPr>
        <w:lastRenderedPageBreak/>
        <w:t xml:space="preserve">5. Magnésium et zinc : les gardiens de l’équilibre </w:t>
      </w:r>
      <w:proofErr w:type="spellStart"/>
      <w:r>
        <w:rPr>
          <w:b/>
          <w:bCs/>
          <w:color w:val="4B3F8F"/>
          <w:sz w:val="27"/>
          <w:szCs w:val="27"/>
        </w:rPr>
        <w:t>neuronal</w:t>
      </w:r>
      <w:proofErr w:type="spellEnd"/>
    </w:p>
    <w:p w14:paraId="6A96A05E" w14:textId="77777777" w:rsidR="00EB3894" w:rsidRDefault="00187C97">
      <w:pPr>
        <w:spacing w:before="200" w:after="80"/>
      </w:pPr>
      <w:r>
        <w:rPr>
          <w:b/>
          <w:bCs/>
          <w:color w:val="E8835A"/>
          <w:sz w:val="24"/>
          <w:szCs w:val="24"/>
        </w:rPr>
        <w:t xml:space="preserve">Le magnésium : protecteur </w:t>
      </w:r>
      <w:proofErr w:type="spellStart"/>
      <w:r>
        <w:rPr>
          <w:b/>
          <w:bCs/>
          <w:color w:val="E8835A"/>
          <w:sz w:val="24"/>
          <w:szCs w:val="24"/>
        </w:rPr>
        <w:t>anti-excitotoxique</w:t>
      </w:r>
      <w:proofErr w:type="spellEnd"/>
    </w:p>
    <w:p w14:paraId="2F931B9A" w14:textId="77777777" w:rsidR="00EB3894" w:rsidRDefault="00187C97">
      <w:pPr>
        <w:spacing w:before="60" w:after="60"/>
        <w:jc w:val="both"/>
      </w:pPr>
      <w:r>
        <w:t xml:space="preserve">Le magnésium joue un rôle physiologique remarquable dans le cerveau : il occupe le canal ionique des </w:t>
      </w:r>
      <w:r>
        <w:rPr>
          <w:b/>
          <w:bCs/>
          <w:color w:val="4B3F8F"/>
        </w:rPr>
        <w:t>récepteurs NMDA</w:t>
      </w:r>
      <w:r>
        <w:t xml:space="preserve"> au potentiel de repos. Tant que le magnésium est en place, le canal reste bloqué et le glutamate ne peut pas déclencher l’afflux de calcium. En déficit de magnésium, ce « verrou » disparait : les récepteurs NMDA s’ouvrent trop facilement, le calcium entre en excès et </w:t>
      </w:r>
      <w:proofErr w:type="spellStart"/>
      <w:r>
        <w:t>l’excitotoxicité</w:t>
      </w:r>
      <w:proofErr w:type="spellEnd"/>
      <w:r>
        <w:t xml:space="preserve"> s’installe.</w:t>
      </w:r>
    </w:p>
    <w:p w14:paraId="3996BA8A" w14:textId="77777777" w:rsidR="00EB3894" w:rsidRDefault="00EB3894">
      <w:pPr>
        <w:spacing w:before="60"/>
      </w:pPr>
    </w:p>
    <w:p w14:paraId="667F0092" w14:textId="77777777" w:rsidR="00EB3894" w:rsidRDefault="00187C97">
      <w:pPr>
        <w:spacing w:before="60" w:after="60"/>
        <w:jc w:val="both"/>
      </w:pPr>
      <w:r>
        <w:t xml:space="preserve">Le magnésium est également cofacteur de plus de 300 réactions enzymatiques dont la synthèse du GABA (neurotransmetteur inhibiteur), la production d’ATP </w:t>
      </w:r>
      <w:proofErr w:type="spellStart"/>
      <w:r>
        <w:t>mitochondrial</w:t>
      </w:r>
      <w:proofErr w:type="spellEnd"/>
      <w:r>
        <w:t xml:space="preserve"> et la réparation de l’ADN. </w:t>
      </w:r>
      <w:r>
        <w:rPr>
          <w:b/>
          <w:bCs/>
          <w:color w:val="E8835A"/>
        </w:rPr>
        <w:t>La carence en magnésium est estimée à plus de 70 % de la population française</w:t>
      </w:r>
      <w:r>
        <w:t>, ce qui en fait un des déficits les plus fréquents et aux conséquences neurologiques les plus sous-estimées.</w:t>
      </w:r>
    </w:p>
    <w:p w14:paraId="3145C2F9" w14:textId="77777777" w:rsidR="00EB3894" w:rsidRDefault="00EB3894">
      <w:pPr>
        <w:spacing w:before="60"/>
      </w:pPr>
    </w:p>
    <w:p w14:paraId="5C558D71" w14:textId="77777777" w:rsidR="00EB3894" w:rsidRDefault="00187C97">
      <w:pPr>
        <w:spacing w:before="60" w:after="60"/>
        <w:jc w:val="both"/>
      </w:pPr>
      <w:r>
        <w:rPr>
          <w:b/>
          <w:bCs/>
          <w:color w:val="E8835A"/>
        </w:rPr>
        <w:t xml:space="preserve">Posologie : </w:t>
      </w:r>
      <w:r>
        <w:t xml:space="preserve">400 à 600 mg/jour de magnésium élément, en préférant les formes </w:t>
      </w:r>
      <w:proofErr w:type="spellStart"/>
      <w:r>
        <w:t>bisglycinate</w:t>
      </w:r>
      <w:proofErr w:type="spellEnd"/>
      <w:r>
        <w:t xml:space="preserve"> ou </w:t>
      </w:r>
      <w:proofErr w:type="spellStart"/>
      <w:r>
        <w:t>malate</w:t>
      </w:r>
      <w:proofErr w:type="spellEnd"/>
      <w:r>
        <w:t xml:space="preserve"> (meilleure absorption et tolérance intestinale que le chlorure ou l’oxyde).</w:t>
      </w:r>
    </w:p>
    <w:p w14:paraId="592010B9" w14:textId="77777777" w:rsidR="00EB3894" w:rsidRDefault="00EB3894">
      <w:pPr>
        <w:spacing w:before="80"/>
      </w:pPr>
    </w:p>
    <w:p w14:paraId="3E2E7FE5" w14:textId="77777777" w:rsidR="00EB3894" w:rsidRDefault="00187C97">
      <w:pPr>
        <w:spacing w:before="200" w:after="80"/>
      </w:pPr>
      <w:r>
        <w:rPr>
          <w:b/>
          <w:bCs/>
          <w:color w:val="E8835A"/>
          <w:sz w:val="24"/>
          <w:szCs w:val="24"/>
        </w:rPr>
        <w:t>Le zinc : cofacteur immunité et neuro-structure</w:t>
      </w:r>
    </w:p>
    <w:p w14:paraId="18ED433E" w14:textId="77777777" w:rsidR="00EB3894" w:rsidRDefault="00187C97">
      <w:pPr>
        <w:spacing w:before="60" w:after="60"/>
        <w:jc w:val="both"/>
      </w:pPr>
      <w:r>
        <w:t xml:space="preserve">Le zinc est le cofacteur de la </w:t>
      </w:r>
      <w:r>
        <w:rPr>
          <w:b/>
          <w:bCs/>
          <w:color w:val="4B3F8F"/>
        </w:rPr>
        <w:t>CuZn-SOD</w:t>
      </w:r>
      <w:r>
        <w:t xml:space="preserve"> (l’enzyme </w:t>
      </w:r>
      <w:proofErr w:type="spellStart"/>
      <w:r>
        <w:t>antioxydante</w:t>
      </w:r>
      <w:proofErr w:type="spellEnd"/>
      <w:r>
        <w:t xml:space="preserve"> la plus abondante du cerveau), mais aussi d’enzymes impliquées dans la synthèse des neurotransmetteurs et la réparation de l’ADN. Il joue également un rôle dans la </w:t>
      </w:r>
      <w:r>
        <w:rPr>
          <w:b/>
          <w:bCs/>
          <w:color w:val="4B3F8F"/>
        </w:rPr>
        <w:t>conformation des protéines</w:t>
      </w:r>
      <w:r>
        <w:t xml:space="preserve"> (doigts de zinc) et dans la protection de la structure du </w:t>
      </w:r>
      <w:proofErr w:type="spellStart"/>
      <w:r>
        <w:t>cytosquelette</w:t>
      </w:r>
      <w:proofErr w:type="spellEnd"/>
      <w:r>
        <w:t xml:space="preserve"> des neurones contre </w:t>
      </w:r>
      <w:proofErr w:type="spellStart"/>
      <w:r>
        <w:t>l’hyperphosphorylation</w:t>
      </w:r>
      <w:proofErr w:type="spellEnd"/>
      <w:r>
        <w:t xml:space="preserve"> de la protéine Tau (signe d’Alzheimer). Sa carence est fréquente chez la personne âgée (absorption réduite, besoins augmentés).</w:t>
      </w:r>
    </w:p>
    <w:p w14:paraId="61396D33" w14:textId="77777777" w:rsidR="00EB3894" w:rsidRDefault="00EB3894">
      <w:pPr>
        <w:spacing w:before="60"/>
      </w:pPr>
    </w:p>
    <w:p w14:paraId="731F28E6" w14:textId="77777777" w:rsidR="00EB3894" w:rsidRDefault="00187C97">
      <w:pPr>
        <w:spacing w:before="60" w:after="60"/>
        <w:jc w:val="both"/>
      </w:pPr>
      <w:r>
        <w:rPr>
          <w:b/>
          <w:bCs/>
          <w:color w:val="E8835A"/>
        </w:rPr>
        <w:t xml:space="preserve">Posologie : </w:t>
      </w:r>
      <w:r>
        <w:t xml:space="preserve">20 mg/jour en deux prises. Éviter de prendre avec des </w:t>
      </w:r>
      <w:proofErr w:type="spellStart"/>
      <w:r>
        <w:t>phytates</w:t>
      </w:r>
      <w:proofErr w:type="spellEnd"/>
      <w:r>
        <w:t xml:space="preserve"> (pain complet, légumineuses) qui </w:t>
      </w:r>
      <w:proofErr w:type="spellStart"/>
      <w:r>
        <w:t>chélatent</w:t>
      </w:r>
      <w:proofErr w:type="spellEnd"/>
      <w:r>
        <w:t xml:space="preserve"> le zinc et réduisent son absorption.</w:t>
      </w:r>
    </w:p>
    <w:p w14:paraId="0D70E490" w14:textId="77777777" w:rsidR="00EB3894" w:rsidRDefault="00EB3894">
      <w:pPr>
        <w:spacing w:before="80"/>
      </w:pPr>
    </w:p>
    <w:p w14:paraId="3EFD1618" w14:textId="77777777" w:rsidR="00EB3894" w:rsidRDefault="00187C97">
      <w:pPr>
        <w:spacing w:before="200" w:after="80"/>
      </w:pPr>
      <w:r>
        <w:rPr>
          <w:b/>
          <w:bCs/>
          <w:color w:val="E8835A"/>
          <w:sz w:val="24"/>
          <w:szCs w:val="24"/>
        </w:rPr>
        <w:t xml:space="preserve">Le sélénium : gardien de la </w:t>
      </w:r>
      <w:proofErr w:type="spellStart"/>
      <w:r>
        <w:rPr>
          <w:b/>
          <w:bCs/>
          <w:color w:val="E8835A"/>
          <w:sz w:val="24"/>
          <w:szCs w:val="24"/>
        </w:rPr>
        <w:t>GPx</w:t>
      </w:r>
      <w:proofErr w:type="spellEnd"/>
      <w:r>
        <w:rPr>
          <w:b/>
          <w:bCs/>
          <w:color w:val="E8835A"/>
          <w:sz w:val="24"/>
          <w:szCs w:val="24"/>
        </w:rPr>
        <w:t xml:space="preserve"> et protecteur de Tau</w:t>
      </w:r>
    </w:p>
    <w:p w14:paraId="0E456FE3" w14:textId="77777777" w:rsidR="00EB3894" w:rsidRDefault="00187C97">
      <w:pPr>
        <w:spacing w:before="60" w:after="60"/>
        <w:jc w:val="both"/>
      </w:pPr>
      <w:r>
        <w:t xml:space="preserve">Le sélénium est le cofacteur indispensable des </w:t>
      </w:r>
      <w:proofErr w:type="spellStart"/>
      <w:r>
        <w:rPr>
          <w:b/>
          <w:bCs/>
          <w:color w:val="4B3F8F"/>
        </w:rPr>
        <w:t>glutathion</w:t>
      </w:r>
      <w:proofErr w:type="spellEnd"/>
      <w:r>
        <w:rPr>
          <w:b/>
          <w:bCs/>
          <w:color w:val="4B3F8F"/>
        </w:rPr>
        <w:t xml:space="preserve"> peroxydases (</w:t>
      </w:r>
      <w:proofErr w:type="spellStart"/>
      <w:r>
        <w:rPr>
          <w:b/>
          <w:bCs/>
          <w:color w:val="4B3F8F"/>
        </w:rPr>
        <w:t>GPx</w:t>
      </w:r>
      <w:proofErr w:type="spellEnd"/>
      <w:r>
        <w:rPr>
          <w:b/>
          <w:bCs/>
          <w:color w:val="4B3F8F"/>
        </w:rPr>
        <w:t>)</w:t>
      </w:r>
      <w:r>
        <w:t xml:space="preserve">, les enzymes qui neutralisent les peroxydes lipidiques dans les membranes </w:t>
      </w:r>
      <w:proofErr w:type="spellStart"/>
      <w:r>
        <w:t>neuronales</w:t>
      </w:r>
      <w:proofErr w:type="spellEnd"/>
      <w:r>
        <w:t xml:space="preserve">. Des études suggèrent également qu’il inhibe </w:t>
      </w:r>
      <w:proofErr w:type="spellStart"/>
      <w:r>
        <w:t>l’hyperphosphorylation</w:t>
      </w:r>
      <w:proofErr w:type="spellEnd"/>
      <w:r>
        <w:t xml:space="preserve"> de la protéine Tau en modulant certaines protéine-kinases, protégeant ainsi le </w:t>
      </w:r>
      <w:proofErr w:type="spellStart"/>
      <w:r>
        <w:t>cytosquelette</w:t>
      </w:r>
      <w:proofErr w:type="spellEnd"/>
      <w:r>
        <w:t xml:space="preserve"> </w:t>
      </w:r>
      <w:proofErr w:type="spellStart"/>
      <w:r>
        <w:t>axonal</w:t>
      </w:r>
      <w:proofErr w:type="spellEnd"/>
      <w:r>
        <w:t xml:space="preserve"> </w:t>
      </w:r>
      <w:proofErr w:type="spellStart"/>
      <w:r>
        <w:t>caractéristiquement</w:t>
      </w:r>
      <w:proofErr w:type="spellEnd"/>
      <w:r>
        <w:t xml:space="preserve"> endommagé dans la maladie d’Alzheimer.</w:t>
      </w:r>
    </w:p>
    <w:p w14:paraId="18E210CA" w14:textId="77777777" w:rsidR="00EB3894" w:rsidRDefault="00EB3894">
      <w:pPr>
        <w:spacing w:before="60"/>
      </w:pPr>
    </w:p>
    <w:p w14:paraId="33AAC723" w14:textId="77777777" w:rsidR="00EB3894" w:rsidRDefault="00187C97">
      <w:pPr>
        <w:spacing w:before="60" w:after="60"/>
        <w:jc w:val="both"/>
      </w:pPr>
      <w:r>
        <w:rPr>
          <w:b/>
          <w:bCs/>
          <w:color w:val="E8835A"/>
        </w:rPr>
        <w:t xml:space="preserve">Posologie : </w:t>
      </w:r>
      <w:r>
        <w:t xml:space="preserve">50 à 80 μg/jour. Privilégier la </w:t>
      </w:r>
      <w:proofErr w:type="spellStart"/>
      <w:r>
        <w:t>sélénométhionine</w:t>
      </w:r>
      <w:proofErr w:type="spellEnd"/>
      <w:r>
        <w:t xml:space="preserve"> (organique) ou les levures enrichies en sélénium, mieux absorbées que le sélénite de sodium. Attention à ne pas dépasser 400 μg/jour (limite de sécurité).</w:t>
      </w:r>
    </w:p>
    <w:p w14:paraId="39A65492" w14:textId="77777777" w:rsidR="00EB3894" w:rsidRDefault="00187C97">
      <w:r>
        <w:br w:type="page"/>
      </w:r>
    </w:p>
    <w:p w14:paraId="3D072A20" w14:textId="77777777" w:rsidR="00EB3894" w:rsidRDefault="00187C97">
      <w:pPr>
        <w:pBdr>
          <w:bottom w:val="single" w:sz="12" w:space="4" w:color="E8835A"/>
        </w:pBdr>
        <w:spacing w:before="280" w:after="110"/>
      </w:pPr>
      <w:r>
        <w:rPr>
          <w:b/>
          <w:bCs/>
          <w:color w:val="4B3F8F"/>
          <w:sz w:val="27"/>
          <w:szCs w:val="27"/>
        </w:rPr>
        <w:lastRenderedPageBreak/>
        <w:t>6. Soutenir la neurotransmission : apporter les bons précurseurs</w:t>
      </w:r>
    </w:p>
    <w:p w14:paraId="56E7D33B" w14:textId="77777777" w:rsidR="00EB3894" w:rsidRDefault="00187C97">
      <w:pPr>
        <w:spacing w:before="60" w:after="60"/>
        <w:jc w:val="both"/>
      </w:pPr>
      <w:r>
        <w:t>Dans les MND, certains circuits neuronaux sont spécifiquement détruits, entraînant la chute d’un ou plusieurs neurotransmetteurs. Comprendre la chaîne biochimique de synthèse permet d’identifier exactement où et comment intervenir.</w:t>
      </w:r>
    </w:p>
    <w:p w14:paraId="169F74D3" w14:textId="77777777" w:rsidR="00EB3894" w:rsidRDefault="00EB3894">
      <w:pPr>
        <w:spacing w:before="80"/>
      </w:pPr>
    </w:p>
    <w:p w14:paraId="7E5175D3" w14:textId="77777777" w:rsidR="00EB3894" w:rsidRDefault="00187C97">
      <w:pPr>
        <w:spacing w:before="200" w:after="80"/>
      </w:pPr>
      <w:r>
        <w:rPr>
          <w:b/>
          <w:bCs/>
          <w:color w:val="E8835A"/>
          <w:sz w:val="24"/>
          <w:szCs w:val="24"/>
        </w:rPr>
        <w:t xml:space="preserve">6.1  La voie cholinergique : </w:t>
      </w:r>
      <w:proofErr w:type="spellStart"/>
      <w:r>
        <w:rPr>
          <w:b/>
          <w:bCs/>
          <w:color w:val="E8835A"/>
          <w:sz w:val="24"/>
          <w:szCs w:val="24"/>
        </w:rPr>
        <w:t>l’acétylcholine</w:t>
      </w:r>
      <w:proofErr w:type="spellEnd"/>
      <w:r>
        <w:rPr>
          <w:b/>
          <w:bCs/>
          <w:color w:val="E8835A"/>
          <w:sz w:val="24"/>
          <w:szCs w:val="24"/>
        </w:rPr>
        <w:t xml:space="preserve"> dans Alzheimer</w:t>
      </w:r>
    </w:p>
    <w:p w14:paraId="1622222E" w14:textId="77777777" w:rsidR="00EB3894" w:rsidRDefault="00187C97">
      <w:pPr>
        <w:spacing w:before="60" w:after="60"/>
        <w:jc w:val="both"/>
      </w:pPr>
      <w:proofErr w:type="spellStart"/>
      <w:r>
        <w:t>L’acétylcholine</w:t>
      </w:r>
      <w:proofErr w:type="spellEnd"/>
      <w:r>
        <w:t xml:space="preserve"> (</w:t>
      </w:r>
      <w:proofErr w:type="spellStart"/>
      <w:r>
        <w:t>Ach</w:t>
      </w:r>
      <w:proofErr w:type="spellEnd"/>
      <w:r>
        <w:t xml:space="preserve">) est le neurotransmetteur de la mémoire et de l’apprentissage. Elle est synthétisée par la </w:t>
      </w:r>
      <w:r>
        <w:rPr>
          <w:b/>
          <w:bCs/>
          <w:color w:val="4B3F8F"/>
        </w:rPr>
        <w:t xml:space="preserve">choline </w:t>
      </w:r>
      <w:proofErr w:type="spellStart"/>
      <w:r>
        <w:rPr>
          <w:b/>
          <w:bCs/>
          <w:color w:val="4B3F8F"/>
        </w:rPr>
        <w:t>acétyltransférase</w:t>
      </w:r>
      <w:proofErr w:type="spellEnd"/>
      <w:r>
        <w:rPr>
          <w:b/>
          <w:bCs/>
          <w:color w:val="4B3F8F"/>
        </w:rPr>
        <w:t xml:space="preserve"> (ChAT)</w:t>
      </w:r>
      <w:r>
        <w:t xml:space="preserve"> à partir de deux précurseurs : la </w:t>
      </w:r>
      <w:r>
        <w:rPr>
          <w:b/>
          <w:bCs/>
          <w:color w:val="4B3F8F"/>
        </w:rPr>
        <w:t>choline</w:t>
      </w:r>
      <w:r>
        <w:t xml:space="preserve"> (fournie par la </w:t>
      </w:r>
      <w:proofErr w:type="spellStart"/>
      <w:r>
        <w:t>phosphatidylcholine</w:t>
      </w:r>
      <w:proofErr w:type="spellEnd"/>
      <w:r>
        <w:t xml:space="preserve"> alimentaire) et </w:t>
      </w:r>
      <w:proofErr w:type="spellStart"/>
      <w:r>
        <w:t>l’</w:t>
      </w:r>
      <w:r>
        <w:rPr>
          <w:b/>
          <w:bCs/>
          <w:color w:val="4B3F8F"/>
        </w:rPr>
        <w:t>acétyl-CoA</w:t>
      </w:r>
      <w:proofErr w:type="spellEnd"/>
      <w:r>
        <w:t xml:space="preserve"> (produit par le métabolisme énergétique </w:t>
      </w:r>
      <w:proofErr w:type="spellStart"/>
      <w:r>
        <w:t>mitochondrial</w:t>
      </w:r>
      <w:proofErr w:type="spellEnd"/>
      <w:r>
        <w:t xml:space="preserve">). Après libération dans la synapse, </w:t>
      </w:r>
      <w:proofErr w:type="spellStart"/>
      <w:r>
        <w:t>l’Ach</w:t>
      </w:r>
      <w:proofErr w:type="spellEnd"/>
      <w:r>
        <w:t xml:space="preserve"> est dégradée par </w:t>
      </w:r>
      <w:proofErr w:type="spellStart"/>
      <w:r>
        <w:t>l’</w:t>
      </w:r>
      <w:r>
        <w:rPr>
          <w:b/>
          <w:bCs/>
          <w:color w:val="4B3F8F"/>
        </w:rPr>
        <w:t>acétylcholinestérase</w:t>
      </w:r>
      <w:proofErr w:type="spellEnd"/>
      <w:r>
        <w:rPr>
          <w:b/>
          <w:bCs/>
          <w:color w:val="4B3F8F"/>
        </w:rPr>
        <w:t xml:space="preserve"> (AChE)</w:t>
      </w:r>
      <w:r>
        <w:t>.</w:t>
      </w:r>
    </w:p>
    <w:p w14:paraId="36860239" w14:textId="77777777" w:rsidR="00EB3894" w:rsidRDefault="00EB3894">
      <w:pPr>
        <w:spacing w:before="60"/>
      </w:pPr>
    </w:p>
    <w:p w14:paraId="4E10116F" w14:textId="77777777" w:rsidR="00EB3894" w:rsidRDefault="00187C97">
      <w:pPr>
        <w:spacing w:before="60" w:after="60"/>
        <w:jc w:val="both"/>
      </w:pPr>
      <w:r>
        <w:t xml:space="preserve">Dans Alzheimer, les neurones cholinergiques du noyau basal de </w:t>
      </w:r>
      <w:proofErr w:type="spellStart"/>
      <w:r>
        <w:t>Meynert</w:t>
      </w:r>
      <w:proofErr w:type="spellEnd"/>
      <w:r>
        <w:t xml:space="preserve"> sont parmi les premiers détruits, entraînant une chute sévère </w:t>
      </w:r>
      <w:proofErr w:type="spellStart"/>
      <w:r>
        <w:t>d’Ach</w:t>
      </w:r>
      <w:proofErr w:type="spellEnd"/>
      <w:r>
        <w:t>. Les médicaments allopathiques actuels (</w:t>
      </w:r>
      <w:proofErr w:type="spellStart"/>
      <w:r>
        <w:t>donnépézil</w:t>
      </w:r>
      <w:proofErr w:type="spellEnd"/>
      <w:r>
        <w:t xml:space="preserve">, </w:t>
      </w:r>
      <w:proofErr w:type="spellStart"/>
      <w:r>
        <w:t>rivastigmine</w:t>
      </w:r>
      <w:proofErr w:type="spellEnd"/>
      <w:r>
        <w:t xml:space="preserve">) sont des </w:t>
      </w:r>
      <w:r>
        <w:rPr>
          <w:b/>
          <w:bCs/>
          <w:color w:val="4B3F8F"/>
        </w:rPr>
        <w:t>inhibiteurs de l’AChE</w:t>
      </w:r>
      <w:r>
        <w:t xml:space="preserve"> : ils ralentissent la dégradation de </w:t>
      </w:r>
      <w:proofErr w:type="spellStart"/>
      <w:r>
        <w:t>l’Ach</w:t>
      </w:r>
      <w:proofErr w:type="spellEnd"/>
      <w:r>
        <w:t xml:space="preserve">. La </w:t>
      </w:r>
      <w:proofErr w:type="spellStart"/>
      <w:r>
        <w:t>naturopathie</w:t>
      </w:r>
      <w:proofErr w:type="spellEnd"/>
      <w:r>
        <w:t xml:space="preserve"> agit en amont, sur l’apport en précurseurs.</w:t>
      </w:r>
    </w:p>
    <w:p w14:paraId="5979A929" w14:textId="77777777" w:rsidR="00EB3894" w:rsidRDefault="00EB389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26"/>
        <w:gridCol w:w="3400"/>
      </w:tblGrid>
      <w:tr w:rsidR="00EB3894" w14:paraId="49F74FFD" w14:textId="77777777">
        <w:tblPrEx>
          <w:tblCellMar>
            <w:top w:w="0" w:type="dxa"/>
            <w:bottom w:w="0" w:type="dxa"/>
          </w:tblCellMar>
        </w:tblPrEx>
        <w:tc>
          <w:tcPr>
            <w:tcW w:w="2400"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2B5B81EE" w14:textId="77777777" w:rsidR="00EB3894" w:rsidRDefault="00187C97">
            <w:pPr>
              <w:jc w:val="center"/>
            </w:pPr>
            <w:r>
              <w:rPr>
                <w:b/>
                <w:bCs/>
                <w:color w:val="FFFFFF"/>
                <w:sz w:val="21"/>
                <w:szCs w:val="21"/>
              </w:rPr>
              <w:t>Intervention</w:t>
            </w:r>
          </w:p>
        </w:tc>
        <w:tc>
          <w:tcPr>
            <w:tcW w:w="3226"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709460D9" w14:textId="77777777" w:rsidR="00EB3894" w:rsidRDefault="00187C97">
            <w:pPr>
              <w:jc w:val="center"/>
            </w:pPr>
            <w:r>
              <w:rPr>
                <w:b/>
                <w:bCs/>
                <w:color w:val="FFFFFF"/>
                <w:sz w:val="21"/>
                <w:szCs w:val="21"/>
              </w:rPr>
              <w:t>Mécanisme précis</w:t>
            </w:r>
          </w:p>
        </w:tc>
        <w:tc>
          <w:tcPr>
            <w:tcW w:w="3400"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0754596D" w14:textId="77777777" w:rsidR="00EB3894" w:rsidRDefault="00187C97">
            <w:pPr>
              <w:jc w:val="center"/>
            </w:pPr>
            <w:r>
              <w:rPr>
                <w:b/>
                <w:bCs/>
                <w:color w:val="FFFFFF"/>
                <w:sz w:val="21"/>
                <w:szCs w:val="21"/>
              </w:rPr>
              <w:t>Posologie</w:t>
            </w:r>
          </w:p>
        </w:tc>
      </w:tr>
      <w:tr w:rsidR="00EB3894" w14:paraId="3FE397D7" w14:textId="77777777">
        <w:tblPrEx>
          <w:tblCellMar>
            <w:top w:w="0" w:type="dxa"/>
            <w:bottom w:w="0" w:type="dxa"/>
          </w:tblCellMar>
        </w:tblPrEx>
        <w:tc>
          <w:tcPr>
            <w:tcW w:w="24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2FC468E4" w14:textId="77777777" w:rsidR="00EB3894" w:rsidRDefault="00187C97">
            <w:pPr>
              <w:spacing w:before="30" w:after="30"/>
            </w:pPr>
            <w:proofErr w:type="spellStart"/>
            <w:r>
              <w:rPr>
                <w:b/>
                <w:bCs/>
                <w:color w:val="4B3F8F"/>
                <w:sz w:val="20"/>
                <w:szCs w:val="20"/>
              </w:rPr>
              <w:t>Phosphatidylcholine</w:t>
            </w:r>
            <w:proofErr w:type="spellEnd"/>
            <w:r>
              <w:rPr>
                <w:b/>
                <w:bCs/>
                <w:color w:val="4B3F8F"/>
                <w:sz w:val="20"/>
                <w:szCs w:val="20"/>
              </w:rPr>
              <w:t xml:space="preserve"> (lécithine)</w:t>
            </w:r>
          </w:p>
        </w:tc>
        <w:tc>
          <w:tcPr>
            <w:tcW w:w="32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1CF8AD59" w14:textId="77777777" w:rsidR="00EB3894" w:rsidRDefault="00187C97">
            <w:pPr>
              <w:spacing w:before="30" w:after="30"/>
            </w:pPr>
            <w:r>
              <w:rPr>
                <w:sz w:val="20"/>
                <w:szCs w:val="20"/>
              </w:rPr>
              <w:t xml:space="preserve">Apporte de la choline alimentaire → précurseur direct de </w:t>
            </w:r>
            <w:proofErr w:type="spellStart"/>
            <w:r>
              <w:rPr>
                <w:sz w:val="20"/>
                <w:szCs w:val="20"/>
              </w:rPr>
              <w:t>l’Ach</w:t>
            </w:r>
            <w:proofErr w:type="spellEnd"/>
            <w:r>
              <w:rPr>
                <w:sz w:val="20"/>
                <w:szCs w:val="20"/>
              </w:rPr>
              <w:t xml:space="preserve"> → soutient la synthèse cholinergique</w:t>
            </w:r>
          </w:p>
        </w:tc>
        <w:tc>
          <w:tcPr>
            <w:tcW w:w="34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0B1F03DB" w14:textId="77777777" w:rsidR="00EB3894" w:rsidRDefault="00187C97">
            <w:pPr>
              <w:spacing w:before="30" w:after="30"/>
            </w:pPr>
            <w:r>
              <w:rPr>
                <w:b/>
                <w:bCs/>
                <w:color w:val="E8835A"/>
                <w:sz w:val="20"/>
                <w:szCs w:val="20"/>
              </w:rPr>
              <w:t>400 mg/j</w:t>
            </w:r>
          </w:p>
        </w:tc>
      </w:tr>
      <w:tr w:rsidR="00EB3894" w14:paraId="475F3462" w14:textId="77777777">
        <w:tblPrEx>
          <w:tblCellMar>
            <w:top w:w="0" w:type="dxa"/>
            <w:bottom w:w="0" w:type="dxa"/>
          </w:tblCellMar>
        </w:tblPrEx>
        <w:tc>
          <w:tcPr>
            <w:tcW w:w="24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1944DE30" w14:textId="77777777" w:rsidR="00EB3894" w:rsidRDefault="00187C97">
            <w:pPr>
              <w:spacing w:before="30" w:after="30"/>
            </w:pPr>
            <w:proofErr w:type="spellStart"/>
            <w:r>
              <w:rPr>
                <w:b/>
                <w:bCs/>
                <w:color w:val="4B3F8F"/>
                <w:sz w:val="20"/>
                <w:szCs w:val="20"/>
              </w:rPr>
              <w:t>Huperzine</w:t>
            </w:r>
            <w:proofErr w:type="spellEnd"/>
            <w:r>
              <w:rPr>
                <w:b/>
                <w:bCs/>
                <w:color w:val="4B3F8F"/>
                <w:sz w:val="20"/>
                <w:szCs w:val="20"/>
              </w:rPr>
              <w:t xml:space="preserve"> A (</w:t>
            </w:r>
            <w:proofErr w:type="spellStart"/>
            <w:r>
              <w:rPr>
                <w:b/>
                <w:bCs/>
                <w:color w:val="4B3F8F"/>
                <w:sz w:val="20"/>
                <w:szCs w:val="20"/>
              </w:rPr>
              <w:t>Hupersia</w:t>
            </w:r>
            <w:proofErr w:type="spellEnd"/>
            <w:r>
              <w:rPr>
                <w:b/>
                <w:bCs/>
                <w:color w:val="4B3F8F"/>
                <w:sz w:val="20"/>
                <w:szCs w:val="20"/>
              </w:rPr>
              <w:t xml:space="preserve"> </w:t>
            </w:r>
            <w:proofErr w:type="spellStart"/>
            <w:r>
              <w:rPr>
                <w:b/>
                <w:bCs/>
                <w:color w:val="4B3F8F"/>
                <w:sz w:val="20"/>
                <w:szCs w:val="20"/>
              </w:rPr>
              <w:t>serrata</w:t>
            </w:r>
            <w:proofErr w:type="spellEnd"/>
            <w:r>
              <w:rPr>
                <w:b/>
                <w:bCs/>
                <w:color w:val="4B3F8F"/>
                <w:sz w:val="20"/>
                <w:szCs w:val="20"/>
              </w:rPr>
              <w:t>)</w:t>
            </w:r>
          </w:p>
        </w:tc>
        <w:tc>
          <w:tcPr>
            <w:tcW w:w="3226" w:type="dxa"/>
            <w:tcBorders>
              <w:top w:val="single" w:sz="4" w:space="0" w:color="C4B8F0"/>
              <w:left w:val="single" w:sz="4" w:space="0" w:color="C4B8F0"/>
              <w:bottom w:val="single" w:sz="4" w:space="0" w:color="C4B8F0"/>
              <w:right w:val="single" w:sz="4" w:space="0" w:color="C4B8F0"/>
            </w:tcBorders>
            <w:shd w:val="clear" w:color="auto" w:fill="F5F5F7"/>
            <w:tcMar>
              <w:top w:w="90" w:type="dxa"/>
              <w:left w:w="150" w:type="dxa"/>
              <w:bottom w:w="90" w:type="dxa"/>
              <w:right w:w="100" w:type="dxa"/>
            </w:tcMar>
            <w:vAlign w:val="center"/>
          </w:tcPr>
          <w:p w14:paraId="020C8B11" w14:textId="77777777" w:rsidR="00EB3894" w:rsidRDefault="00187C97">
            <w:pPr>
              <w:spacing w:before="30" w:after="30"/>
            </w:pPr>
            <w:r>
              <w:rPr>
                <w:sz w:val="20"/>
                <w:szCs w:val="20"/>
              </w:rPr>
              <w:t xml:space="preserve">Inhibiteur naturel et sélectif de l’AChE → </w:t>
            </w:r>
            <w:proofErr w:type="spellStart"/>
            <w:r>
              <w:rPr>
                <w:sz w:val="20"/>
                <w:szCs w:val="20"/>
              </w:rPr>
              <w:t>prolongs</w:t>
            </w:r>
            <w:proofErr w:type="spellEnd"/>
            <w:r>
              <w:rPr>
                <w:sz w:val="20"/>
                <w:szCs w:val="20"/>
              </w:rPr>
              <w:t xml:space="preserve"> la durée de vie de </w:t>
            </w:r>
            <w:proofErr w:type="spellStart"/>
            <w:r>
              <w:rPr>
                <w:sz w:val="20"/>
                <w:szCs w:val="20"/>
              </w:rPr>
              <w:t>l’Ach</w:t>
            </w:r>
            <w:proofErr w:type="spellEnd"/>
            <w:r>
              <w:rPr>
                <w:sz w:val="20"/>
                <w:szCs w:val="20"/>
              </w:rPr>
              <w:t xml:space="preserve"> dans la fente synaptique. Traverse la BHE.</w:t>
            </w:r>
          </w:p>
        </w:tc>
        <w:tc>
          <w:tcPr>
            <w:tcW w:w="34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363FC46C" w14:textId="77777777" w:rsidR="00EB3894" w:rsidRDefault="00187C97">
            <w:pPr>
              <w:spacing w:before="30" w:after="30"/>
            </w:pPr>
            <w:r>
              <w:rPr>
                <w:b/>
                <w:bCs/>
                <w:color w:val="E8835A"/>
                <w:sz w:val="20"/>
                <w:szCs w:val="20"/>
              </w:rPr>
              <w:t>100 μg/j</w:t>
            </w:r>
          </w:p>
        </w:tc>
      </w:tr>
    </w:tbl>
    <w:p w14:paraId="2A697995" w14:textId="77777777" w:rsidR="00EB3894" w:rsidRDefault="00EB3894">
      <w:pPr>
        <w:spacing w:before="100"/>
      </w:pPr>
    </w:p>
    <w:p w14:paraId="2B6A04C6" w14:textId="77777777" w:rsidR="00EB3894" w:rsidRDefault="00187C97">
      <w:pPr>
        <w:spacing w:before="200" w:after="80"/>
      </w:pPr>
      <w:r>
        <w:rPr>
          <w:b/>
          <w:bCs/>
          <w:color w:val="E8835A"/>
          <w:sz w:val="24"/>
          <w:szCs w:val="24"/>
        </w:rPr>
        <w:t xml:space="preserve">6.2  La voie </w:t>
      </w:r>
      <w:proofErr w:type="spellStart"/>
      <w:r>
        <w:rPr>
          <w:b/>
          <w:bCs/>
          <w:color w:val="E8835A"/>
          <w:sz w:val="24"/>
          <w:szCs w:val="24"/>
        </w:rPr>
        <w:t>dopaminergique</w:t>
      </w:r>
      <w:proofErr w:type="spellEnd"/>
      <w:r>
        <w:rPr>
          <w:b/>
          <w:bCs/>
          <w:color w:val="E8835A"/>
          <w:sz w:val="24"/>
          <w:szCs w:val="24"/>
        </w:rPr>
        <w:t xml:space="preserve"> : la </w:t>
      </w:r>
      <w:proofErr w:type="spellStart"/>
      <w:r>
        <w:rPr>
          <w:b/>
          <w:bCs/>
          <w:color w:val="E8835A"/>
          <w:sz w:val="24"/>
          <w:szCs w:val="24"/>
        </w:rPr>
        <w:t>L-Tyrosine</w:t>
      </w:r>
      <w:proofErr w:type="spellEnd"/>
      <w:r>
        <w:rPr>
          <w:b/>
          <w:bCs/>
          <w:color w:val="E8835A"/>
          <w:sz w:val="24"/>
          <w:szCs w:val="24"/>
        </w:rPr>
        <w:t xml:space="preserve"> dans Parkinson</w:t>
      </w:r>
    </w:p>
    <w:p w14:paraId="1D45E9E3" w14:textId="77777777" w:rsidR="00EB3894" w:rsidRDefault="00187C97">
      <w:pPr>
        <w:spacing w:before="60" w:after="60"/>
        <w:jc w:val="both"/>
      </w:pPr>
      <w:r>
        <w:t xml:space="preserve">La dopamine est synthétisée en plusieurs étapes à partir de la </w:t>
      </w:r>
      <w:proofErr w:type="spellStart"/>
      <w:r>
        <w:rPr>
          <w:b/>
          <w:bCs/>
          <w:color w:val="4B3F8F"/>
        </w:rPr>
        <w:t>L-Tyrosine</w:t>
      </w:r>
      <w:proofErr w:type="spellEnd"/>
      <w:r>
        <w:t xml:space="preserve">, un acide aminé non essentiel (synthétisé à partir de la </w:t>
      </w:r>
      <w:proofErr w:type="spellStart"/>
      <w:r>
        <w:t>phénylalanine</w:t>
      </w:r>
      <w:proofErr w:type="spellEnd"/>
      <w:r>
        <w:t xml:space="preserve">). La </w:t>
      </w:r>
      <w:proofErr w:type="spellStart"/>
      <w:r>
        <w:t>L-Tyrosine</w:t>
      </w:r>
      <w:proofErr w:type="spellEnd"/>
      <w:r>
        <w:t xml:space="preserve"> est transformée en L-DOPA par la </w:t>
      </w:r>
      <w:proofErr w:type="spellStart"/>
      <w:r>
        <w:rPr>
          <w:b/>
          <w:bCs/>
          <w:color w:val="4B3F8F"/>
        </w:rPr>
        <w:t>tyrosine</w:t>
      </w:r>
      <w:proofErr w:type="spellEnd"/>
      <w:r>
        <w:rPr>
          <w:b/>
          <w:bCs/>
          <w:color w:val="4B3F8F"/>
        </w:rPr>
        <w:t xml:space="preserve"> </w:t>
      </w:r>
      <w:proofErr w:type="spellStart"/>
      <w:r>
        <w:rPr>
          <w:b/>
          <w:bCs/>
          <w:color w:val="4B3F8F"/>
        </w:rPr>
        <w:t>hydroxylase</w:t>
      </w:r>
      <w:proofErr w:type="spellEnd"/>
      <w:r>
        <w:t xml:space="preserve"> (cofacteurs : Mg, Zn, Fe, B1, B2, B6), puis la L-DOPA est </w:t>
      </w:r>
      <w:proofErr w:type="spellStart"/>
      <w:r>
        <w:t>décarboxylée</w:t>
      </w:r>
      <w:proofErr w:type="spellEnd"/>
      <w:r>
        <w:t xml:space="preserve"> en dopamine (cofacteur : vitamine C + cuivre). La </w:t>
      </w:r>
      <w:proofErr w:type="spellStart"/>
      <w:r>
        <w:t>L-Tyrosine</w:t>
      </w:r>
      <w:proofErr w:type="spellEnd"/>
      <w:r>
        <w:t xml:space="preserve"> est transportée à travers la BHE par le transporteur LAT1 (partagé avec d’autres acides aminés </w:t>
      </w:r>
      <w:proofErr w:type="spellStart"/>
      <w:r>
        <w:t>aromat</w:t>
      </w:r>
      <w:proofErr w:type="spellEnd"/>
      <w:r>
        <w:t xml:space="preserve"> </w:t>
      </w:r>
      <w:proofErr w:type="spellStart"/>
      <w:r>
        <w:t>iques</w:t>
      </w:r>
      <w:proofErr w:type="spellEnd"/>
      <w:r>
        <w:t>).</w:t>
      </w:r>
    </w:p>
    <w:p w14:paraId="1E2A67A8" w14:textId="77777777" w:rsidR="00EB3894" w:rsidRDefault="00EB3894">
      <w:pPr>
        <w:spacing w:before="60"/>
      </w:pPr>
    </w:p>
    <w:p w14:paraId="5BD768BA" w14:textId="77777777" w:rsidR="00EB3894" w:rsidRDefault="00187C97">
      <w:pPr>
        <w:spacing w:before="60" w:after="60"/>
        <w:jc w:val="both"/>
      </w:pPr>
      <w:r>
        <w:t xml:space="preserve">La </w:t>
      </w:r>
      <w:r>
        <w:rPr>
          <w:b/>
          <w:bCs/>
          <w:color w:val="4B3F8F"/>
        </w:rPr>
        <w:t xml:space="preserve">vitamine C </w:t>
      </w:r>
      <w:proofErr w:type="spellStart"/>
      <w:r>
        <w:rPr>
          <w:b/>
          <w:bCs/>
          <w:color w:val="4B3F8F"/>
        </w:rPr>
        <w:t>liposomale</w:t>
      </w:r>
      <w:proofErr w:type="spellEnd"/>
      <w:r>
        <w:t xml:space="preserve"> est recommandée car elle augmente l’activité de la </w:t>
      </w:r>
      <w:proofErr w:type="spellStart"/>
      <w:r>
        <w:t>tyrosine</w:t>
      </w:r>
      <w:proofErr w:type="spellEnd"/>
      <w:r>
        <w:t xml:space="preserve"> </w:t>
      </w:r>
      <w:proofErr w:type="spellStart"/>
      <w:r>
        <w:t>hydroxylase</w:t>
      </w:r>
      <w:proofErr w:type="spellEnd"/>
      <w:r>
        <w:t xml:space="preserve"> et de la DOPA </w:t>
      </w:r>
      <w:proofErr w:type="spellStart"/>
      <w:r>
        <w:t>décarboxylase</w:t>
      </w:r>
      <w:proofErr w:type="spellEnd"/>
      <w:r>
        <w:t xml:space="preserve">, optimisant les deux étapes clés de la chaîne de synthèse. La forme </w:t>
      </w:r>
      <w:proofErr w:type="spellStart"/>
      <w:r>
        <w:t>liposomale</w:t>
      </w:r>
      <w:proofErr w:type="spellEnd"/>
      <w:r>
        <w:t xml:space="preserve"> assure une meilleure biodisponibilité et un passage facilité à travers les membranes.</w:t>
      </w:r>
    </w:p>
    <w:p w14:paraId="71D99975" w14:textId="77777777" w:rsidR="00EB3894" w:rsidRDefault="00EB3894">
      <w:pPr>
        <w:spacing w:before="60"/>
      </w:pPr>
    </w:p>
    <w:p w14:paraId="43E1214E" w14:textId="77777777" w:rsidR="00EB3894" w:rsidRDefault="00187C97">
      <w:pPr>
        <w:spacing w:before="60" w:after="60"/>
        <w:jc w:val="both"/>
      </w:pPr>
      <w:r>
        <w:rPr>
          <w:b/>
          <w:bCs/>
          <w:color w:val="E8835A"/>
        </w:rPr>
        <w:t xml:space="preserve">Posologie : </w:t>
      </w:r>
      <w:proofErr w:type="spellStart"/>
      <w:r>
        <w:t>L-Tyrosine</w:t>
      </w:r>
      <w:proofErr w:type="spellEnd"/>
      <w:r>
        <w:t xml:space="preserve"> 700 mg/jour + Vitamine C </w:t>
      </w:r>
      <w:proofErr w:type="spellStart"/>
      <w:r>
        <w:t>liposomale</w:t>
      </w:r>
      <w:proofErr w:type="spellEnd"/>
      <w:r>
        <w:t xml:space="preserve"> 500 mg à 2 g/jour. À prendre à distance des repas </w:t>
      </w:r>
      <w:proofErr w:type="spellStart"/>
      <w:r>
        <w:t>protéinés</w:t>
      </w:r>
      <w:proofErr w:type="spellEnd"/>
      <w:r>
        <w:t xml:space="preserve"> (compétition avec les autres acides aminés pour le transporteur LAT1).</w:t>
      </w:r>
    </w:p>
    <w:p w14:paraId="2EC7744B" w14:textId="77777777" w:rsidR="00EB3894" w:rsidRDefault="00EB3894">
      <w:pPr>
        <w:spacing w:before="100"/>
      </w:pPr>
    </w:p>
    <w:p w14:paraId="34C53B9C" w14:textId="77777777" w:rsidR="00EB3894" w:rsidRDefault="00187C97">
      <w:pPr>
        <w:spacing w:before="200" w:after="80"/>
      </w:pPr>
      <w:r>
        <w:rPr>
          <w:b/>
          <w:bCs/>
          <w:color w:val="E8835A"/>
          <w:sz w:val="24"/>
          <w:szCs w:val="24"/>
        </w:rPr>
        <w:t xml:space="preserve">6.3  L’équilibre GABA/Glutamate : prévenir </w:t>
      </w:r>
      <w:proofErr w:type="spellStart"/>
      <w:r>
        <w:rPr>
          <w:b/>
          <w:bCs/>
          <w:color w:val="E8835A"/>
          <w:sz w:val="24"/>
          <w:szCs w:val="24"/>
        </w:rPr>
        <w:t>l’excitotoxicité</w:t>
      </w:r>
      <w:proofErr w:type="spellEnd"/>
    </w:p>
    <w:p w14:paraId="0D8CABC3" w14:textId="77777777" w:rsidR="00EB3894" w:rsidRDefault="00187C97">
      <w:pPr>
        <w:spacing w:before="60" w:after="60"/>
        <w:jc w:val="both"/>
      </w:pPr>
      <w:r>
        <w:lastRenderedPageBreak/>
        <w:t xml:space="preserve">Le GABA est le principal neurotransmetteur inhibiteur du cerveau, synthétisé directement à partir de l’acide glutamique par la </w:t>
      </w:r>
      <w:r>
        <w:rPr>
          <w:b/>
          <w:bCs/>
          <w:color w:val="4B3F8F"/>
        </w:rPr>
        <w:t xml:space="preserve">glutamate </w:t>
      </w:r>
      <w:proofErr w:type="spellStart"/>
      <w:r>
        <w:rPr>
          <w:b/>
          <w:bCs/>
          <w:color w:val="4B3F8F"/>
        </w:rPr>
        <w:t>décarboxylase</w:t>
      </w:r>
      <w:proofErr w:type="spellEnd"/>
      <w:r>
        <w:rPr>
          <w:b/>
          <w:bCs/>
          <w:color w:val="4B3F8F"/>
        </w:rPr>
        <w:t xml:space="preserve"> (GAD)</w:t>
      </w:r>
      <w:r>
        <w:t xml:space="preserve">, une enzyme vitamine B6 et zinc-dépendante. Un bon apport en zinc et B6 favorise donc la conversion du glutamate excitateur en GABA inhibiteur, rééquilibrant la balance </w:t>
      </w:r>
      <w:proofErr w:type="spellStart"/>
      <w:r>
        <w:t>exc</w:t>
      </w:r>
      <w:proofErr w:type="spellEnd"/>
      <w:r>
        <w:t xml:space="preserve"> </w:t>
      </w:r>
      <w:proofErr w:type="spellStart"/>
      <w:r>
        <w:t>itation</w:t>
      </w:r>
      <w:proofErr w:type="spellEnd"/>
      <w:r>
        <w:t>/inhibition.</w:t>
      </w:r>
    </w:p>
    <w:p w14:paraId="68A61461" w14:textId="77777777" w:rsidR="00EB3894" w:rsidRDefault="00EB3894">
      <w:pPr>
        <w:spacing w:before="60"/>
      </w:pPr>
    </w:p>
    <w:p w14:paraId="4668C473" w14:textId="77777777" w:rsidR="00EB3894" w:rsidRDefault="00187C97">
      <w:pPr>
        <w:spacing w:before="60" w:after="60"/>
        <w:jc w:val="both"/>
      </w:pPr>
      <w:r>
        <w:t xml:space="preserve">Le DHA, en s’intégrant aux membranes des neurones </w:t>
      </w:r>
      <w:proofErr w:type="spellStart"/>
      <w:r>
        <w:t>GABAergiques</w:t>
      </w:r>
      <w:proofErr w:type="spellEnd"/>
      <w:r>
        <w:t>, améliore leur réponse aux signaux inhibiteurs. Le magnésium, comme vu précédemment, bloque physiquement les récepteurs NMDA au glutamate, créant un effet protecteur complémentaire.</w:t>
      </w:r>
    </w:p>
    <w:p w14:paraId="3C45493E" w14:textId="77777777" w:rsidR="00EB3894" w:rsidRDefault="00EB389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3894" w14:paraId="1A15D7E8" w14:textId="77777777">
        <w:tblPrEx>
          <w:tblCellMar>
            <w:top w:w="0" w:type="dxa"/>
            <w:bottom w:w="0" w:type="dxa"/>
          </w:tblCellMar>
        </w:tblPrEx>
        <w:tc>
          <w:tcPr>
            <w:tcW w:w="9026" w:type="dxa"/>
            <w:tcBorders>
              <w:top w:val="single" w:sz="14" w:space="0" w:color="E8835A"/>
              <w:left w:val="single" w:sz="28" w:space="0" w:color="E8835A"/>
              <w:bottom w:val="single" w:sz="4" w:space="0" w:color="E8835A"/>
              <w:right w:val="single" w:sz="4" w:space="0" w:color="E8835A"/>
            </w:tcBorders>
            <w:shd w:val="clear" w:color="auto" w:fill="FBF0EB"/>
            <w:tcMar>
              <w:top w:w="100" w:type="dxa"/>
              <w:left w:w="160" w:type="dxa"/>
              <w:bottom w:w="100" w:type="dxa"/>
              <w:right w:w="160" w:type="dxa"/>
            </w:tcMar>
          </w:tcPr>
          <w:p w14:paraId="4917A4B7" w14:textId="77777777" w:rsidR="00EB3894" w:rsidRDefault="00187C97">
            <w:pPr>
              <w:spacing w:before="60" w:after="50"/>
            </w:pPr>
            <w:r>
              <w:rPr>
                <w:b/>
                <w:bCs/>
                <w:color w:val="E8835A"/>
              </w:rPr>
              <w:t xml:space="preserve">  ★  À retenir</w:t>
            </w:r>
          </w:p>
          <w:p w14:paraId="2B16EE7A" w14:textId="77777777" w:rsidR="00EB3894" w:rsidRDefault="00187C97">
            <w:pPr>
              <w:spacing w:before="30" w:after="30"/>
            </w:pPr>
            <w:r>
              <w:rPr>
                <w:sz w:val="21"/>
                <w:szCs w:val="21"/>
              </w:rPr>
              <w:t xml:space="preserve">  ✓  </w:t>
            </w:r>
            <w:proofErr w:type="spellStart"/>
            <w:r>
              <w:rPr>
                <w:sz w:val="21"/>
                <w:szCs w:val="21"/>
              </w:rPr>
              <w:t>Ach</w:t>
            </w:r>
            <w:proofErr w:type="spellEnd"/>
            <w:r>
              <w:rPr>
                <w:sz w:val="21"/>
                <w:szCs w:val="21"/>
              </w:rPr>
              <w:t xml:space="preserve"> : apporter choline (</w:t>
            </w:r>
            <w:proofErr w:type="spellStart"/>
            <w:r>
              <w:rPr>
                <w:sz w:val="21"/>
                <w:szCs w:val="21"/>
              </w:rPr>
              <w:t>phosphatidylcholine</w:t>
            </w:r>
            <w:proofErr w:type="spellEnd"/>
            <w:r>
              <w:rPr>
                <w:sz w:val="21"/>
                <w:szCs w:val="21"/>
              </w:rPr>
              <w:t>) + ralentir sa dégradation (</w:t>
            </w:r>
            <w:proofErr w:type="spellStart"/>
            <w:r>
              <w:rPr>
                <w:sz w:val="21"/>
                <w:szCs w:val="21"/>
              </w:rPr>
              <w:t>huperzine</w:t>
            </w:r>
            <w:proofErr w:type="spellEnd"/>
            <w:r>
              <w:rPr>
                <w:sz w:val="21"/>
                <w:szCs w:val="21"/>
              </w:rPr>
              <w:t xml:space="preserve"> A).</w:t>
            </w:r>
          </w:p>
          <w:p w14:paraId="29C78AAD" w14:textId="77777777" w:rsidR="00EB3894" w:rsidRDefault="00187C97">
            <w:pPr>
              <w:spacing w:before="30" w:after="30"/>
            </w:pPr>
            <w:r>
              <w:rPr>
                <w:sz w:val="21"/>
                <w:szCs w:val="21"/>
              </w:rPr>
              <w:t xml:space="preserve">  ✓  Dopamine : </w:t>
            </w:r>
            <w:proofErr w:type="spellStart"/>
            <w:r>
              <w:rPr>
                <w:sz w:val="21"/>
                <w:szCs w:val="21"/>
              </w:rPr>
              <w:t>L-Tyrosine</w:t>
            </w:r>
            <w:proofErr w:type="spellEnd"/>
            <w:r>
              <w:rPr>
                <w:sz w:val="21"/>
                <w:szCs w:val="21"/>
              </w:rPr>
              <w:t xml:space="preserve"> + Vit C </w:t>
            </w:r>
            <w:proofErr w:type="spellStart"/>
            <w:r>
              <w:rPr>
                <w:sz w:val="21"/>
                <w:szCs w:val="21"/>
              </w:rPr>
              <w:t>liposomale</w:t>
            </w:r>
            <w:proofErr w:type="spellEnd"/>
            <w:r>
              <w:rPr>
                <w:sz w:val="21"/>
                <w:szCs w:val="21"/>
              </w:rPr>
              <w:t xml:space="preserve"> pour optimiser les deux étapes enzymatiques de synthèse.</w:t>
            </w:r>
          </w:p>
          <w:p w14:paraId="671FC5D8" w14:textId="77777777" w:rsidR="00EB3894" w:rsidRDefault="00187C97">
            <w:pPr>
              <w:spacing w:before="30" w:after="30"/>
            </w:pPr>
            <w:r>
              <w:rPr>
                <w:sz w:val="21"/>
                <w:szCs w:val="21"/>
              </w:rPr>
              <w:t xml:space="preserve">  ✓  GABA/Glutamate : Zinc + B6 (synthèse GABA) + Magnésium (blocage NMDA) + DHA (membranes).</w:t>
            </w:r>
          </w:p>
          <w:p w14:paraId="48F5D5BF" w14:textId="77777777" w:rsidR="00EB3894" w:rsidRDefault="00187C97">
            <w:pPr>
              <w:spacing w:before="30" w:after="30"/>
            </w:pPr>
            <w:r>
              <w:rPr>
                <w:sz w:val="21"/>
                <w:szCs w:val="21"/>
              </w:rPr>
              <w:t xml:space="preserve">  ✓  La B6 est un cofacteur clé commun à la synthèse de nombreux neurotransmetteurs.</w:t>
            </w:r>
          </w:p>
        </w:tc>
      </w:tr>
    </w:tbl>
    <w:p w14:paraId="530898C0" w14:textId="77777777" w:rsidR="00EB3894" w:rsidRDefault="00187C97">
      <w:r>
        <w:br w:type="page"/>
      </w:r>
    </w:p>
    <w:p w14:paraId="0BD8E3CE" w14:textId="77777777" w:rsidR="00EB3894" w:rsidRDefault="00187C97">
      <w:pPr>
        <w:pBdr>
          <w:bottom w:val="single" w:sz="12" w:space="4" w:color="E8835A"/>
        </w:pBdr>
        <w:spacing w:before="280" w:after="110"/>
      </w:pPr>
      <w:r>
        <w:rPr>
          <w:b/>
          <w:bCs/>
          <w:color w:val="4B3F8F"/>
          <w:sz w:val="27"/>
          <w:szCs w:val="27"/>
        </w:rPr>
        <w:lastRenderedPageBreak/>
        <w:t xml:space="preserve">7. Moduler la </w:t>
      </w:r>
      <w:proofErr w:type="spellStart"/>
      <w:r>
        <w:rPr>
          <w:b/>
          <w:bCs/>
          <w:color w:val="4B3F8F"/>
          <w:sz w:val="27"/>
          <w:szCs w:val="27"/>
        </w:rPr>
        <w:t>neuroinflammation</w:t>
      </w:r>
      <w:proofErr w:type="spellEnd"/>
    </w:p>
    <w:p w14:paraId="1AA81873" w14:textId="77777777" w:rsidR="00EB3894" w:rsidRDefault="00187C97">
      <w:pPr>
        <w:spacing w:before="60" w:after="60"/>
        <w:jc w:val="both"/>
      </w:pPr>
      <w:r>
        <w:t xml:space="preserve">La </w:t>
      </w:r>
      <w:proofErr w:type="spellStart"/>
      <w:r>
        <w:t>neuroinflammation</w:t>
      </w:r>
      <w:proofErr w:type="spellEnd"/>
      <w:r>
        <w:t xml:space="preserve"> dans les MND est à double tranchant : d’abord protectrice (la </w:t>
      </w:r>
      <w:proofErr w:type="spellStart"/>
      <w:r>
        <w:t>microglie</w:t>
      </w:r>
      <w:proofErr w:type="spellEnd"/>
      <w:r>
        <w:t xml:space="preserve"> tente d’éliminer les agrégats), elle devient </w:t>
      </w:r>
      <w:r>
        <w:rPr>
          <w:b/>
          <w:bCs/>
          <w:color w:val="E8835A"/>
        </w:rPr>
        <w:t>chroniquement délétère</w:t>
      </w:r>
      <w:r>
        <w:t xml:space="preserve"> quand elle est dépassée. La </w:t>
      </w:r>
      <w:proofErr w:type="spellStart"/>
      <w:r>
        <w:t>microglie</w:t>
      </w:r>
      <w:proofErr w:type="spellEnd"/>
      <w:r>
        <w:t xml:space="preserve"> activée libère des cytokines pro-inflammatoires (TNFα, IL-1β, IL-6) et des ROS via l’iNOS (qui produit du monoxyde d’azote, NO). L’interaction NO + ROS génère du </w:t>
      </w:r>
      <w:proofErr w:type="spellStart"/>
      <w:r>
        <w:rPr>
          <w:b/>
          <w:bCs/>
          <w:color w:val="4B3F8F"/>
        </w:rPr>
        <w:t>peroxynitrite</w:t>
      </w:r>
      <w:proofErr w:type="spellEnd"/>
      <w:r>
        <w:rPr>
          <w:b/>
          <w:bCs/>
          <w:color w:val="4B3F8F"/>
        </w:rPr>
        <w:t xml:space="preserve"> (ONOO⁻)</w:t>
      </w:r>
      <w:r>
        <w:t>, l’un des oxydants les plus toxiques pour les neurones.</w:t>
      </w:r>
    </w:p>
    <w:p w14:paraId="3DBEB99C" w14:textId="77777777" w:rsidR="00EB3894" w:rsidRDefault="00EB3894">
      <w:pPr>
        <w:spacing w:before="80"/>
      </w:pPr>
    </w:p>
    <w:p w14:paraId="58E37A99" w14:textId="77777777" w:rsidR="00EB3894" w:rsidRDefault="00187C97">
      <w:pPr>
        <w:spacing w:before="200" w:after="80"/>
      </w:pPr>
      <w:r>
        <w:rPr>
          <w:b/>
          <w:bCs/>
          <w:color w:val="E8835A"/>
          <w:sz w:val="24"/>
          <w:szCs w:val="24"/>
        </w:rPr>
        <w:t xml:space="preserve">Le </w:t>
      </w:r>
      <w:proofErr w:type="spellStart"/>
      <w:r>
        <w:rPr>
          <w:b/>
          <w:bCs/>
          <w:color w:val="E8835A"/>
          <w:sz w:val="24"/>
          <w:szCs w:val="24"/>
        </w:rPr>
        <w:t>resvératrol</w:t>
      </w:r>
      <w:proofErr w:type="spellEnd"/>
      <w:r>
        <w:rPr>
          <w:b/>
          <w:bCs/>
          <w:color w:val="E8835A"/>
          <w:sz w:val="24"/>
          <w:szCs w:val="24"/>
        </w:rPr>
        <w:t xml:space="preserve"> : modulateur multi-cibles</w:t>
      </w:r>
    </w:p>
    <w:p w14:paraId="29E33320" w14:textId="77777777" w:rsidR="00EB3894" w:rsidRDefault="00187C97">
      <w:pPr>
        <w:spacing w:before="60" w:after="60"/>
        <w:jc w:val="both"/>
      </w:pPr>
      <w:r>
        <w:t xml:space="preserve">Le </w:t>
      </w:r>
      <w:proofErr w:type="spellStart"/>
      <w:r>
        <w:t>resvératrol</w:t>
      </w:r>
      <w:proofErr w:type="spellEnd"/>
      <w:r>
        <w:t xml:space="preserve"> est un </w:t>
      </w:r>
      <w:proofErr w:type="spellStart"/>
      <w:r>
        <w:t>polyphénol</w:t>
      </w:r>
      <w:proofErr w:type="spellEnd"/>
      <w:r>
        <w:t xml:space="preserve"> naturel (raisin, </w:t>
      </w:r>
      <w:proofErr w:type="spellStart"/>
      <w:r>
        <w:t>cédre</w:t>
      </w:r>
      <w:proofErr w:type="spellEnd"/>
      <w:r>
        <w:t xml:space="preserve">) dont les effets sur le système nerveux sont parmi les mieux documentés. Il agit en activant les </w:t>
      </w:r>
      <w:proofErr w:type="spellStart"/>
      <w:r>
        <w:rPr>
          <w:b/>
          <w:bCs/>
          <w:color w:val="4B3F8F"/>
        </w:rPr>
        <w:t>sirtuines</w:t>
      </w:r>
      <w:proofErr w:type="spellEnd"/>
      <w:r>
        <w:rPr>
          <w:b/>
          <w:bCs/>
          <w:color w:val="4B3F8F"/>
        </w:rPr>
        <w:t xml:space="preserve"> (SIRT1)</w:t>
      </w:r>
      <w:r>
        <w:t xml:space="preserve">, des enzymes régulatrices impliquées dans la </w:t>
      </w:r>
      <w:proofErr w:type="spellStart"/>
      <w:r>
        <w:t>détoxification</w:t>
      </w:r>
      <w:proofErr w:type="spellEnd"/>
      <w:r>
        <w:t xml:space="preserve"> des agrégats protéiques et l’inhibition du facteur pro-inflammatoire </w:t>
      </w:r>
      <w:r>
        <w:rPr>
          <w:b/>
          <w:bCs/>
          <w:color w:val="4B3F8F"/>
        </w:rPr>
        <w:t>NF-κB</w:t>
      </w:r>
      <w:r>
        <w:t>. Il améliore également l’intégrité de la BHE en réduisant la perméabilité des jonctions serrées, limitant l’entrée des leucocytes circulants dans le tissu cérébral.</w:t>
      </w:r>
    </w:p>
    <w:p w14:paraId="0C2D098D" w14:textId="77777777" w:rsidR="00EB3894" w:rsidRDefault="00EB3894">
      <w:pPr>
        <w:spacing w:before="80"/>
      </w:pPr>
    </w:p>
    <w:p w14:paraId="36D41F2B" w14:textId="77777777" w:rsidR="00EB3894" w:rsidRDefault="00187C97">
      <w:pPr>
        <w:spacing w:before="200" w:after="80"/>
      </w:pPr>
      <w:r>
        <w:rPr>
          <w:b/>
          <w:bCs/>
          <w:color w:val="E8835A"/>
          <w:sz w:val="24"/>
          <w:szCs w:val="24"/>
        </w:rPr>
        <w:t xml:space="preserve">Romarin, sauge et lavande : </w:t>
      </w:r>
      <w:proofErr w:type="spellStart"/>
      <w:r>
        <w:rPr>
          <w:b/>
          <w:bCs/>
          <w:color w:val="E8835A"/>
          <w:sz w:val="24"/>
          <w:szCs w:val="24"/>
        </w:rPr>
        <w:t>neuroprotection</w:t>
      </w:r>
      <w:proofErr w:type="spellEnd"/>
      <w:r>
        <w:rPr>
          <w:b/>
          <w:bCs/>
          <w:color w:val="E8835A"/>
          <w:sz w:val="24"/>
          <w:szCs w:val="24"/>
        </w:rPr>
        <w:t xml:space="preserve"> </w:t>
      </w:r>
      <w:proofErr w:type="spellStart"/>
      <w:r>
        <w:rPr>
          <w:b/>
          <w:bCs/>
          <w:color w:val="E8835A"/>
          <w:sz w:val="24"/>
          <w:szCs w:val="24"/>
        </w:rPr>
        <w:t>aromathique</w:t>
      </w:r>
      <w:proofErr w:type="spellEnd"/>
    </w:p>
    <w:p w14:paraId="02BC9043" w14:textId="77777777" w:rsidR="00EB3894" w:rsidRDefault="00187C97">
      <w:pPr>
        <w:spacing w:before="60" w:after="60"/>
        <w:jc w:val="both"/>
      </w:pPr>
      <w:r>
        <w:t xml:space="preserve">Ces trois plantes partagent un profil </w:t>
      </w:r>
      <w:proofErr w:type="spellStart"/>
      <w:r>
        <w:t>neuroprotecteur</w:t>
      </w:r>
      <w:proofErr w:type="spellEnd"/>
      <w:r>
        <w:t xml:space="preserve"> remarquablement similaire, étudié dans des travaux récents. Leurs constituants actifs (acide </w:t>
      </w:r>
      <w:proofErr w:type="spellStart"/>
      <w:r>
        <w:t>rosémarinique</w:t>
      </w:r>
      <w:proofErr w:type="spellEnd"/>
      <w:r>
        <w:t xml:space="preserve">, </w:t>
      </w:r>
      <w:proofErr w:type="spellStart"/>
      <w:r>
        <w:t>carnosol</w:t>
      </w:r>
      <w:proofErr w:type="spellEnd"/>
      <w:r>
        <w:t xml:space="preserve">, </w:t>
      </w:r>
      <w:proofErr w:type="spellStart"/>
      <w:r>
        <w:t>linalool</w:t>
      </w:r>
      <w:proofErr w:type="spellEnd"/>
      <w:r>
        <w:t xml:space="preserve">, acétate de </w:t>
      </w:r>
      <w:proofErr w:type="spellStart"/>
      <w:r>
        <w:t>linalyle</w:t>
      </w:r>
      <w:proofErr w:type="spellEnd"/>
      <w:r>
        <w:t>) exercent leurs effets via plusieurs voies simultanées.</w:t>
      </w:r>
    </w:p>
    <w:p w14:paraId="16F71370" w14:textId="77777777" w:rsidR="00EB3894" w:rsidRDefault="00EB389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3894" w14:paraId="3021DF53" w14:textId="77777777">
        <w:tblPrEx>
          <w:tblCellMar>
            <w:top w:w="0" w:type="dxa"/>
            <w:bottom w:w="0" w:type="dxa"/>
          </w:tblCellMar>
        </w:tblPrEx>
        <w:tc>
          <w:tcPr>
            <w:tcW w:w="9026" w:type="dxa"/>
            <w:tcBorders>
              <w:top w:val="single" w:sz="14" w:space="0" w:color="2E7D32"/>
              <w:left w:val="single" w:sz="28" w:space="0" w:color="2E7D32"/>
              <w:bottom w:val="single" w:sz="4" w:space="0" w:color="2E7D32"/>
              <w:right w:val="single" w:sz="4" w:space="0" w:color="2E7D32"/>
            </w:tcBorders>
            <w:shd w:val="clear" w:color="auto" w:fill="EAF5EA"/>
            <w:tcMar>
              <w:top w:w="110" w:type="dxa"/>
              <w:left w:w="160" w:type="dxa"/>
              <w:bottom w:w="110" w:type="dxa"/>
              <w:right w:w="160" w:type="dxa"/>
            </w:tcMar>
          </w:tcPr>
          <w:p w14:paraId="1FB172E7" w14:textId="77777777" w:rsidR="00EB3894" w:rsidRDefault="00187C97">
            <w:pPr>
              <w:spacing w:before="60" w:after="50"/>
            </w:pPr>
            <w:r>
              <w:rPr>
                <w:b/>
                <w:bCs/>
                <w:color w:val="2E7D32"/>
              </w:rPr>
              <w:t xml:space="preserve">  ▶  Mécanismes des herbes aromatiques </w:t>
            </w:r>
            <w:proofErr w:type="spellStart"/>
            <w:r>
              <w:rPr>
                <w:b/>
                <w:bCs/>
                <w:color w:val="2E7D32"/>
              </w:rPr>
              <w:t>neuroprotectrices</w:t>
            </w:r>
            <w:proofErr w:type="spellEnd"/>
          </w:p>
          <w:p w14:paraId="7591CFC5" w14:textId="77777777" w:rsidR="00EB3894" w:rsidRDefault="00187C97">
            <w:pPr>
              <w:spacing w:before="28" w:after="28"/>
              <w:jc w:val="both"/>
            </w:pPr>
            <w:r>
              <w:rPr>
                <w:sz w:val="21"/>
                <w:szCs w:val="21"/>
              </w:rPr>
              <w:t xml:space="preserve">     Inhibition de l’AChE → préservation de </w:t>
            </w:r>
            <w:proofErr w:type="spellStart"/>
            <w:r>
              <w:rPr>
                <w:sz w:val="21"/>
                <w:szCs w:val="21"/>
              </w:rPr>
              <w:t>l’acétylcholine</w:t>
            </w:r>
            <w:proofErr w:type="spellEnd"/>
            <w:r>
              <w:rPr>
                <w:sz w:val="21"/>
                <w:szCs w:val="21"/>
              </w:rPr>
              <w:t xml:space="preserve"> synaptique (effet similaire aux médicaments Alzheimer).</w:t>
            </w:r>
          </w:p>
          <w:p w14:paraId="75DCC02F" w14:textId="77777777" w:rsidR="00EB3894" w:rsidRDefault="00187C97">
            <w:pPr>
              <w:spacing w:before="28" w:after="28"/>
              <w:jc w:val="both"/>
            </w:pPr>
            <w:r>
              <w:rPr>
                <w:sz w:val="21"/>
                <w:szCs w:val="21"/>
              </w:rPr>
              <w:t xml:space="preserve">     Inhibition de l’agrégation bêta-amyloïde → réduction directe des plaques séniles.</w:t>
            </w:r>
          </w:p>
          <w:p w14:paraId="30C5C270" w14:textId="77777777" w:rsidR="00EB3894" w:rsidRDefault="00187C97">
            <w:pPr>
              <w:spacing w:before="28" w:after="28"/>
              <w:jc w:val="both"/>
            </w:pPr>
            <w:r>
              <w:rPr>
                <w:sz w:val="21"/>
                <w:szCs w:val="21"/>
              </w:rPr>
              <w:t xml:space="preserve">     Activation de la voie ERK/CREB/BDNF → </w:t>
            </w:r>
            <w:proofErr w:type="spellStart"/>
            <w:r>
              <w:rPr>
                <w:sz w:val="21"/>
                <w:szCs w:val="21"/>
              </w:rPr>
              <w:t>neuroprotection</w:t>
            </w:r>
            <w:proofErr w:type="spellEnd"/>
            <w:r>
              <w:rPr>
                <w:sz w:val="21"/>
                <w:szCs w:val="21"/>
              </w:rPr>
              <w:t xml:space="preserve"> et renforcement mémoriel.</w:t>
            </w:r>
          </w:p>
          <w:p w14:paraId="2DC103CD" w14:textId="77777777" w:rsidR="00EB3894" w:rsidRDefault="00187C97">
            <w:pPr>
              <w:spacing w:before="28" w:after="28"/>
              <w:jc w:val="both"/>
            </w:pPr>
            <w:r>
              <w:rPr>
                <w:sz w:val="21"/>
                <w:szCs w:val="21"/>
              </w:rPr>
              <w:t xml:space="preserve">     Activation de NRF2 → induction des défenses </w:t>
            </w:r>
            <w:proofErr w:type="spellStart"/>
            <w:r>
              <w:rPr>
                <w:sz w:val="21"/>
                <w:szCs w:val="21"/>
              </w:rPr>
              <w:t>antioxydantes</w:t>
            </w:r>
            <w:proofErr w:type="spellEnd"/>
            <w:r>
              <w:rPr>
                <w:sz w:val="21"/>
                <w:szCs w:val="21"/>
              </w:rPr>
              <w:t xml:space="preserve"> endogènes (SOD, </w:t>
            </w:r>
            <w:proofErr w:type="spellStart"/>
            <w:r>
              <w:rPr>
                <w:sz w:val="21"/>
                <w:szCs w:val="21"/>
              </w:rPr>
              <w:t>GPx</w:t>
            </w:r>
            <w:proofErr w:type="spellEnd"/>
            <w:r>
              <w:rPr>
                <w:sz w:val="21"/>
                <w:szCs w:val="21"/>
              </w:rPr>
              <w:t xml:space="preserve">, </w:t>
            </w:r>
            <w:proofErr w:type="spellStart"/>
            <w:r>
              <w:rPr>
                <w:sz w:val="21"/>
                <w:szCs w:val="21"/>
              </w:rPr>
              <w:t>catalase</w:t>
            </w:r>
            <w:proofErr w:type="spellEnd"/>
            <w:r>
              <w:rPr>
                <w:sz w:val="21"/>
                <w:szCs w:val="21"/>
              </w:rPr>
              <w:t>).</w:t>
            </w:r>
          </w:p>
          <w:p w14:paraId="60BBA364" w14:textId="77777777" w:rsidR="00EB3894" w:rsidRDefault="00187C97">
            <w:pPr>
              <w:spacing w:before="28" w:after="28"/>
              <w:jc w:val="both"/>
            </w:pPr>
            <w:r>
              <w:rPr>
                <w:sz w:val="21"/>
                <w:szCs w:val="21"/>
              </w:rPr>
              <w:t xml:space="preserve">     Inhibition de NF-κB → réduction des cytokines pro-inflammatoires (TNFα, IL-1β, IL-6).</w:t>
            </w:r>
          </w:p>
          <w:p w14:paraId="19781DF4" w14:textId="77777777" w:rsidR="00EB3894" w:rsidRDefault="00187C97">
            <w:pPr>
              <w:spacing w:before="28" w:after="28"/>
              <w:jc w:val="both"/>
            </w:pPr>
            <w:r>
              <w:rPr>
                <w:sz w:val="21"/>
                <w:szCs w:val="21"/>
              </w:rPr>
              <w:t xml:space="preserve">     Inhibition de l’iNOS → réduction de la production de monoxyde d’azote (NO) </w:t>
            </w:r>
            <w:proofErr w:type="spellStart"/>
            <w:r>
              <w:rPr>
                <w:sz w:val="21"/>
                <w:szCs w:val="21"/>
              </w:rPr>
              <w:t>neurotoxique</w:t>
            </w:r>
            <w:proofErr w:type="spellEnd"/>
            <w:r>
              <w:rPr>
                <w:sz w:val="21"/>
                <w:szCs w:val="21"/>
              </w:rPr>
              <w:t>.</w:t>
            </w:r>
          </w:p>
        </w:tc>
      </w:tr>
    </w:tbl>
    <w:p w14:paraId="1E814A25" w14:textId="77777777" w:rsidR="00EB3894" w:rsidRDefault="00EB3894">
      <w:pPr>
        <w:spacing w:before="80"/>
      </w:pPr>
    </w:p>
    <w:p w14:paraId="610642DC" w14:textId="77777777" w:rsidR="00EB3894" w:rsidRDefault="00187C97">
      <w:pPr>
        <w:spacing w:before="200" w:after="80"/>
      </w:pPr>
      <w:r>
        <w:rPr>
          <w:b/>
          <w:bCs/>
          <w:color w:val="E8835A"/>
          <w:sz w:val="24"/>
          <w:szCs w:val="24"/>
        </w:rPr>
        <w:t xml:space="preserve">Le </w:t>
      </w:r>
      <w:proofErr w:type="spellStart"/>
      <w:r>
        <w:rPr>
          <w:b/>
          <w:bCs/>
          <w:color w:val="E8835A"/>
          <w:sz w:val="24"/>
          <w:szCs w:val="24"/>
        </w:rPr>
        <w:t>microbiote</w:t>
      </w:r>
      <w:proofErr w:type="spellEnd"/>
      <w:r>
        <w:rPr>
          <w:b/>
          <w:bCs/>
          <w:color w:val="E8835A"/>
          <w:sz w:val="24"/>
          <w:szCs w:val="24"/>
        </w:rPr>
        <w:t xml:space="preserve"> intestinal : un acteur indirect mais décisif</w:t>
      </w:r>
    </w:p>
    <w:p w14:paraId="483FCE75" w14:textId="77777777" w:rsidR="00EB3894" w:rsidRDefault="00187C97">
      <w:pPr>
        <w:spacing w:before="60" w:after="60"/>
        <w:jc w:val="both"/>
      </w:pPr>
      <w:r>
        <w:t xml:space="preserve">L’axe </w:t>
      </w:r>
      <w:proofErr w:type="spellStart"/>
      <w:r>
        <w:t>microbiote-intestin</w:t>
      </w:r>
      <w:proofErr w:type="spellEnd"/>
      <w:r>
        <w:t xml:space="preserve">-cerveau (axe MIC) est une autoroute bidirectionnelle qui emprunte plusieurs voies : le </w:t>
      </w:r>
      <w:r>
        <w:rPr>
          <w:b/>
          <w:bCs/>
          <w:color w:val="4B3F8F"/>
        </w:rPr>
        <w:t>nerf vague</w:t>
      </w:r>
      <w:r>
        <w:t xml:space="preserve"> (voie nerveuse directe), la circulation sanguine (cytokines, métabolites microbiens) et le système endocrinien (production de sérotonine — dont 90 % est fabriquée dans l’intestin).</w:t>
      </w:r>
    </w:p>
    <w:p w14:paraId="52E044DB" w14:textId="77777777" w:rsidR="00EB3894" w:rsidRDefault="00EB3894">
      <w:pPr>
        <w:spacing w:before="60"/>
      </w:pPr>
    </w:p>
    <w:p w14:paraId="00BE640C" w14:textId="77777777" w:rsidR="00EB3894" w:rsidRDefault="00187C97">
      <w:pPr>
        <w:spacing w:before="60" w:after="60"/>
        <w:jc w:val="both"/>
      </w:pPr>
      <w:r>
        <w:t xml:space="preserve">En cas de </w:t>
      </w:r>
      <w:proofErr w:type="spellStart"/>
      <w:r>
        <w:rPr>
          <w:b/>
          <w:bCs/>
          <w:color w:val="4B3F8F"/>
        </w:rPr>
        <w:t>dysbiose</w:t>
      </w:r>
      <w:proofErr w:type="spellEnd"/>
      <w:r>
        <w:t xml:space="preserve"> (déséquilibre du </w:t>
      </w:r>
      <w:proofErr w:type="spellStart"/>
      <w:r>
        <w:t>microbiote</w:t>
      </w:r>
      <w:proofErr w:type="spellEnd"/>
      <w:r>
        <w:t xml:space="preserve">), les bactéries </w:t>
      </w:r>
      <w:proofErr w:type="spellStart"/>
      <w:r>
        <w:t>Gram</w:t>
      </w:r>
      <w:proofErr w:type="spellEnd"/>
      <w:r>
        <w:t xml:space="preserve"> négatives libèrent des </w:t>
      </w:r>
      <w:r>
        <w:rPr>
          <w:b/>
          <w:bCs/>
          <w:color w:val="4B3F8F"/>
        </w:rPr>
        <w:t>LPS (</w:t>
      </w:r>
      <w:proofErr w:type="spellStart"/>
      <w:r>
        <w:rPr>
          <w:b/>
          <w:bCs/>
          <w:color w:val="4B3F8F"/>
        </w:rPr>
        <w:t>lipopolysaccharides</w:t>
      </w:r>
      <w:proofErr w:type="spellEnd"/>
      <w:r>
        <w:rPr>
          <w:b/>
          <w:bCs/>
          <w:color w:val="4B3F8F"/>
        </w:rPr>
        <w:t>)</w:t>
      </w:r>
      <w:r>
        <w:t xml:space="preserve">, des fragments de paroi bactérienne hautement inflammatoires. Quand la barrière intestinale est </w:t>
      </w:r>
      <w:proofErr w:type="spellStart"/>
      <w:r>
        <w:t>permeéable</w:t>
      </w:r>
      <w:proofErr w:type="spellEnd"/>
      <w:r>
        <w:t xml:space="preserve"> (« </w:t>
      </w:r>
      <w:proofErr w:type="spellStart"/>
      <w:r>
        <w:t>leaky</w:t>
      </w:r>
      <w:proofErr w:type="spellEnd"/>
      <w:r>
        <w:t xml:space="preserve"> </w:t>
      </w:r>
      <w:proofErr w:type="spellStart"/>
      <w:r>
        <w:t>gut</w:t>
      </w:r>
      <w:proofErr w:type="spellEnd"/>
      <w:r>
        <w:t xml:space="preserve"> »), ces LPS passent dans la circulation systémique et atteignent le cerveau, activant directement la </w:t>
      </w:r>
      <w:proofErr w:type="spellStart"/>
      <w:r>
        <w:t>microglie</w:t>
      </w:r>
      <w:proofErr w:type="spellEnd"/>
      <w:r>
        <w:t xml:space="preserve"> et initiant ou amplifiant la </w:t>
      </w:r>
      <w:proofErr w:type="spellStart"/>
      <w:r>
        <w:t>neuroinflammation</w:t>
      </w:r>
      <w:proofErr w:type="spellEnd"/>
      <w:r>
        <w:t>.</w:t>
      </w:r>
    </w:p>
    <w:p w14:paraId="2310D5B6" w14:textId="77777777" w:rsidR="00EB3894" w:rsidRDefault="00EB3894">
      <w:pPr>
        <w:spacing w:before="60"/>
      </w:pPr>
    </w:p>
    <w:p w14:paraId="57E3672E" w14:textId="77777777" w:rsidR="00EB3894" w:rsidRDefault="00187C97">
      <w:pPr>
        <w:spacing w:before="60" w:after="60"/>
        <w:jc w:val="both"/>
      </w:pPr>
      <w:r>
        <w:lastRenderedPageBreak/>
        <w:t xml:space="preserve">Le </w:t>
      </w:r>
      <w:r>
        <w:rPr>
          <w:b/>
          <w:bCs/>
          <w:color w:val="4B3F8F"/>
        </w:rPr>
        <w:t>n-butyrate</w:t>
      </w:r>
      <w:r>
        <w:t xml:space="preserve"> (acide gras à chaîne courte produit par la fermentation des fibres) a un double effet : il nourrit et protège les </w:t>
      </w:r>
      <w:proofErr w:type="spellStart"/>
      <w:r>
        <w:t>colonocytes</w:t>
      </w:r>
      <w:proofErr w:type="spellEnd"/>
      <w:r>
        <w:t xml:space="preserve"> (cellules intestinales), et traversant la BHE, il exerce un effet anti-inflammatoire direct sur la </w:t>
      </w:r>
      <w:proofErr w:type="spellStart"/>
      <w:r>
        <w:t>microglie</w:t>
      </w:r>
      <w:proofErr w:type="spellEnd"/>
      <w:r>
        <w:t xml:space="preserve"> via l’inhibition des histones </w:t>
      </w:r>
      <w:proofErr w:type="spellStart"/>
      <w:r>
        <w:t>déacétylases</w:t>
      </w:r>
      <w:proofErr w:type="spellEnd"/>
      <w:r>
        <w:t xml:space="preserve"> (HDAC), modulant l’expression des gènes inflammatoires.</w:t>
      </w:r>
    </w:p>
    <w:p w14:paraId="49FA40AA" w14:textId="77777777" w:rsidR="00EB3894" w:rsidRDefault="00EB389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3894" w14:paraId="0FF9581F" w14:textId="77777777">
        <w:tblPrEx>
          <w:tblCellMar>
            <w:top w:w="0" w:type="dxa"/>
            <w:bottom w:w="0" w:type="dxa"/>
          </w:tblCellMar>
        </w:tblPrEx>
        <w:tc>
          <w:tcPr>
            <w:tcW w:w="9026" w:type="dxa"/>
            <w:tcBorders>
              <w:top w:val="single" w:sz="14" w:space="0" w:color="E8835A"/>
              <w:left w:val="single" w:sz="28" w:space="0" w:color="E8835A"/>
              <w:bottom w:val="single" w:sz="4" w:space="0" w:color="E8835A"/>
              <w:right w:val="single" w:sz="4" w:space="0" w:color="E8835A"/>
            </w:tcBorders>
            <w:shd w:val="clear" w:color="auto" w:fill="FBF0EB"/>
            <w:tcMar>
              <w:top w:w="100" w:type="dxa"/>
              <w:left w:w="160" w:type="dxa"/>
              <w:bottom w:w="100" w:type="dxa"/>
              <w:right w:w="160" w:type="dxa"/>
            </w:tcMar>
          </w:tcPr>
          <w:p w14:paraId="208FA00A" w14:textId="77777777" w:rsidR="00EB3894" w:rsidRDefault="00187C97">
            <w:pPr>
              <w:spacing w:before="60" w:after="50"/>
            </w:pPr>
            <w:r>
              <w:rPr>
                <w:b/>
                <w:bCs/>
                <w:color w:val="E8835A"/>
              </w:rPr>
              <w:t xml:space="preserve">  ★  À retenir</w:t>
            </w:r>
          </w:p>
          <w:p w14:paraId="40FB50C9" w14:textId="77777777" w:rsidR="00EB3894" w:rsidRDefault="00187C97">
            <w:pPr>
              <w:spacing w:before="30" w:after="30"/>
            </w:pPr>
            <w:r>
              <w:rPr>
                <w:sz w:val="21"/>
                <w:szCs w:val="21"/>
              </w:rPr>
              <w:t xml:space="preserve">  ✓  La </w:t>
            </w:r>
            <w:proofErr w:type="spellStart"/>
            <w:r>
              <w:rPr>
                <w:sz w:val="21"/>
                <w:szCs w:val="21"/>
              </w:rPr>
              <w:t>neuroinflammation</w:t>
            </w:r>
            <w:proofErr w:type="spellEnd"/>
            <w:r>
              <w:rPr>
                <w:sz w:val="21"/>
                <w:szCs w:val="21"/>
              </w:rPr>
              <w:t xml:space="preserve"> chronique est amplificatrice : elle aggrave le stress oxydant et accélère la mort </w:t>
            </w:r>
            <w:proofErr w:type="spellStart"/>
            <w:r>
              <w:rPr>
                <w:sz w:val="21"/>
                <w:szCs w:val="21"/>
              </w:rPr>
              <w:t>neuronale</w:t>
            </w:r>
            <w:proofErr w:type="spellEnd"/>
            <w:r>
              <w:rPr>
                <w:sz w:val="21"/>
                <w:szCs w:val="21"/>
              </w:rPr>
              <w:t>.</w:t>
            </w:r>
          </w:p>
          <w:p w14:paraId="04570EDB" w14:textId="77777777" w:rsidR="00EB3894" w:rsidRDefault="00187C97">
            <w:pPr>
              <w:spacing w:before="30" w:after="30"/>
            </w:pPr>
            <w:r>
              <w:rPr>
                <w:sz w:val="21"/>
                <w:szCs w:val="21"/>
              </w:rPr>
              <w:t xml:space="preserve">  ✓  </w:t>
            </w:r>
            <w:proofErr w:type="spellStart"/>
            <w:r>
              <w:rPr>
                <w:sz w:val="21"/>
                <w:szCs w:val="21"/>
              </w:rPr>
              <w:t>Resvératrol</w:t>
            </w:r>
            <w:proofErr w:type="spellEnd"/>
            <w:r>
              <w:rPr>
                <w:sz w:val="21"/>
                <w:szCs w:val="21"/>
              </w:rPr>
              <w:t xml:space="preserve"> : active SIRT1, inhibe NF-κB, protège la BHE. Plante multi-cibles parmi les mieux étudiées.</w:t>
            </w:r>
          </w:p>
          <w:p w14:paraId="1AE1A740" w14:textId="77777777" w:rsidR="00EB3894" w:rsidRDefault="00187C97">
            <w:pPr>
              <w:spacing w:before="30" w:after="30"/>
            </w:pPr>
            <w:r>
              <w:rPr>
                <w:sz w:val="21"/>
                <w:szCs w:val="21"/>
              </w:rPr>
              <w:t xml:space="preserve">  ✓  Romarin/Sauge/Lavande : six mécanismes </w:t>
            </w:r>
            <w:proofErr w:type="spellStart"/>
            <w:r>
              <w:rPr>
                <w:sz w:val="21"/>
                <w:szCs w:val="21"/>
              </w:rPr>
              <w:t>neuroprotecteurs</w:t>
            </w:r>
            <w:proofErr w:type="spellEnd"/>
            <w:r>
              <w:rPr>
                <w:sz w:val="21"/>
                <w:szCs w:val="21"/>
              </w:rPr>
              <w:t xml:space="preserve"> simultanés, dont inhibition AChE et activation NRF2.</w:t>
            </w:r>
          </w:p>
          <w:p w14:paraId="5DDA04DC" w14:textId="77777777" w:rsidR="00EB3894" w:rsidRDefault="00187C97">
            <w:pPr>
              <w:spacing w:before="30" w:after="30"/>
            </w:pPr>
            <w:r>
              <w:rPr>
                <w:sz w:val="21"/>
                <w:szCs w:val="21"/>
              </w:rPr>
              <w:t xml:space="preserve">  ✓  </w:t>
            </w:r>
            <w:proofErr w:type="spellStart"/>
            <w:r>
              <w:rPr>
                <w:sz w:val="21"/>
                <w:szCs w:val="21"/>
              </w:rPr>
              <w:t>Microbiote</w:t>
            </w:r>
            <w:proofErr w:type="spellEnd"/>
            <w:r>
              <w:rPr>
                <w:sz w:val="21"/>
                <w:szCs w:val="21"/>
              </w:rPr>
              <w:t xml:space="preserve"> : les LPS des bactéries activent la </w:t>
            </w:r>
            <w:proofErr w:type="spellStart"/>
            <w:r>
              <w:rPr>
                <w:sz w:val="21"/>
                <w:szCs w:val="21"/>
              </w:rPr>
              <w:t>microglie</w:t>
            </w:r>
            <w:proofErr w:type="spellEnd"/>
            <w:r>
              <w:rPr>
                <w:sz w:val="21"/>
                <w:szCs w:val="21"/>
              </w:rPr>
              <w:t>. Le butyrate la calme. L’alimentation est un levier direct.</w:t>
            </w:r>
          </w:p>
        </w:tc>
      </w:tr>
    </w:tbl>
    <w:p w14:paraId="6BB65BD3" w14:textId="77777777" w:rsidR="00EB3894" w:rsidRDefault="00187C97">
      <w:r>
        <w:br w:type="page"/>
      </w:r>
    </w:p>
    <w:p w14:paraId="4DEDA131" w14:textId="77777777" w:rsidR="00EB3894" w:rsidRDefault="00187C97">
      <w:pPr>
        <w:pBdr>
          <w:bottom w:val="single" w:sz="12" w:space="4" w:color="E8835A"/>
        </w:pBdr>
        <w:spacing w:before="280" w:after="110"/>
      </w:pPr>
      <w:r>
        <w:rPr>
          <w:b/>
          <w:bCs/>
          <w:color w:val="4B3F8F"/>
          <w:sz w:val="27"/>
          <w:szCs w:val="27"/>
        </w:rPr>
        <w:lastRenderedPageBreak/>
        <w:t>8. La vitamine D : bien au-delà des os</w:t>
      </w:r>
    </w:p>
    <w:p w14:paraId="304DB216" w14:textId="77777777" w:rsidR="00EB3894" w:rsidRDefault="00187C97">
      <w:pPr>
        <w:spacing w:before="60" w:after="60"/>
        <w:jc w:val="both"/>
      </w:pPr>
      <w:r>
        <w:t xml:space="preserve">La vitamine D est en réalité une </w:t>
      </w:r>
      <w:r>
        <w:rPr>
          <w:b/>
          <w:bCs/>
          <w:color w:val="4B3F8F"/>
        </w:rPr>
        <w:t xml:space="preserve">hormone </w:t>
      </w:r>
      <w:proofErr w:type="spellStart"/>
      <w:r>
        <w:rPr>
          <w:b/>
          <w:bCs/>
          <w:color w:val="4B3F8F"/>
        </w:rPr>
        <w:t>stéroïdienne</w:t>
      </w:r>
      <w:proofErr w:type="spellEnd"/>
      <w:r>
        <w:t xml:space="preserve"> (</w:t>
      </w:r>
      <w:proofErr w:type="spellStart"/>
      <w:r>
        <w:t>calcitriol</w:t>
      </w:r>
      <w:proofErr w:type="spellEnd"/>
      <w:r>
        <w:t xml:space="preserve">) dont les récepteurs (VDR) sont présents dans presque tous les tissus, y compris le cerveau (neurones, </w:t>
      </w:r>
      <w:proofErr w:type="spellStart"/>
      <w:r>
        <w:t>astrocytes</w:t>
      </w:r>
      <w:proofErr w:type="spellEnd"/>
      <w:r>
        <w:t xml:space="preserve">, </w:t>
      </w:r>
      <w:proofErr w:type="spellStart"/>
      <w:r>
        <w:t>microglie</w:t>
      </w:r>
      <w:proofErr w:type="spellEnd"/>
      <w:r>
        <w:t>). Sa carence est particulièrement préoccupante pour les MND car elle agit à plusieurs niveaux de la cascade pathologique.</w:t>
      </w:r>
    </w:p>
    <w:p w14:paraId="2FB5D54D" w14:textId="77777777" w:rsidR="00EB3894" w:rsidRDefault="00EB389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3894" w14:paraId="438F2283" w14:textId="77777777">
        <w:tblPrEx>
          <w:tblCellMar>
            <w:top w:w="0" w:type="dxa"/>
            <w:bottom w:w="0" w:type="dxa"/>
          </w:tblCellMar>
        </w:tblPrEx>
        <w:tc>
          <w:tcPr>
            <w:tcW w:w="9026" w:type="dxa"/>
            <w:tcBorders>
              <w:top w:val="single" w:sz="14" w:space="0" w:color="A05C00"/>
              <w:left w:val="single" w:sz="28" w:space="0" w:color="A05C00"/>
              <w:bottom w:val="single" w:sz="4" w:space="0" w:color="A05C00"/>
              <w:right w:val="single" w:sz="4" w:space="0" w:color="A05C00"/>
            </w:tcBorders>
            <w:shd w:val="clear" w:color="auto" w:fill="FEF3E2"/>
            <w:tcMar>
              <w:top w:w="110" w:type="dxa"/>
              <w:left w:w="160" w:type="dxa"/>
              <w:bottom w:w="110" w:type="dxa"/>
              <w:right w:w="160" w:type="dxa"/>
            </w:tcMar>
          </w:tcPr>
          <w:p w14:paraId="6DC4C69C" w14:textId="77777777" w:rsidR="00EB3894" w:rsidRDefault="00187C97">
            <w:pPr>
              <w:spacing w:before="60" w:after="50"/>
            </w:pPr>
            <w:r>
              <w:rPr>
                <w:b/>
                <w:bCs/>
                <w:color w:val="A05C00"/>
              </w:rPr>
              <w:t xml:space="preserve">  ▶  Actions de la vitamine D dans le système nerveux</w:t>
            </w:r>
          </w:p>
          <w:p w14:paraId="31042E22" w14:textId="77777777" w:rsidR="00EB3894" w:rsidRDefault="00187C97">
            <w:pPr>
              <w:spacing w:before="28" w:after="28"/>
              <w:jc w:val="both"/>
            </w:pPr>
            <w:r>
              <w:rPr>
                <w:sz w:val="21"/>
                <w:szCs w:val="21"/>
              </w:rPr>
              <w:t xml:space="preserve">     Stimulation de la synthèse du GDNF et du BDNF → survie et réparation des neurones </w:t>
            </w:r>
            <w:proofErr w:type="spellStart"/>
            <w:r>
              <w:rPr>
                <w:sz w:val="21"/>
                <w:szCs w:val="21"/>
              </w:rPr>
              <w:t>dopaminergiques</w:t>
            </w:r>
            <w:proofErr w:type="spellEnd"/>
            <w:r>
              <w:rPr>
                <w:sz w:val="21"/>
                <w:szCs w:val="21"/>
              </w:rPr>
              <w:t xml:space="preserve"> (Parkinson).</w:t>
            </w:r>
          </w:p>
          <w:p w14:paraId="086A9191" w14:textId="77777777" w:rsidR="00EB3894" w:rsidRDefault="00187C97">
            <w:pPr>
              <w:spacing w:before="28" w:after="28"/>
              <w:jc w:val="both"/>
            </w:pPr>
            <w:r>
              <w:rPr>
                <w:sz w:val="21"/>
                <w:szCs w:val="21"/>
              </w:rPr>
              <w:t xml:space="preserve">     Activation de NRF2 → induction des défenses </w:t>
            </w:r>
            <w:proofErr w:type="spellStart"/>
            <w:r>
              <w:rPr>
                <w:sz w:val="21"/>
                <w:szCs w:val="21"/>
              </w:rPr>
              <w:t>antioxydantes</w:t>
            </w:r>
            <w:proofErr w:type="spellEnd"/>
            <w:r>
              <w:rPr>
                <w:sz w:val="21"/>
                <w:szCs w:val="21"/>
              </w:rPr>
              <w:t xml:space="preserve"> endogènes.</w:t>
            </w:r>
          </w:p>
          <w:p w14:paraId="7B5F1887" w14:textId="77777777" w:rsidR="00EB3894" w:rsidRDefault="00187C97">
            <w:pPr>
              <w:spacing w:before="28" w:after="28"/>
              <w:jc w:val="both"/>
            </w:pPr>
            <w:r>
              <w:rPr>
                <w:sz w:val="21"/>
                <w:szCs w:val="21"/>
              </w:rPr>
              <w:t xml:space="preserve">     Inhibition de NF-κB → réduction des cytokines pro-inflammatoires (TNFα, IL-1β).</w:t>
            </w:r>
          </w:p>
          <w:p w14:paraId="0A3CDD5F" w14:textId="77777777" w:rsidR="00EB3894" w:rsidRDefault="00187C97">
            <w:pPr>
              <w:spacing w:before="28" w:after="28"/>
              <w:jc w:val="both"/>
            </w:pPr>
            <w:r>
              <w:rPr>
                <w:sz w:val="21"/>
                <w:szCs w:val="21"/>
              </w:rPr>
              <w:t xml:space="preserve">     Inhibition de MAO-B → réduction de la dégradation </w:t>
            </w:r>
            <w:proofErr w:type="spellStart"/>
            <w:r>
              <w:rPr>
                <w:sz w:val="21"/>
                <w:szCs w:val="21"/>
              </w:rPr>
              <w:t>oxydative</w:t>
            </w:r>
            <w:proofErr w:type="spellEnd"/>
            <w:r>
              <w:rPr>
                <w:sz w:val="21"/>
                <w:szCs w:val="21"/>
              </w:rPr>
              <w:t xml:space="preserve"> de la dopamine.</w:t>
            </w:r>
          </w:p>
          <w:p w14:paraId="5C052F65" w14:textId="77777777" w:rsidR="00EB3894" w:rsidRDefault="00187C97">
            <w:pPr>
              <w:spacing w:before="28" w:after="28"/>
              <w:jc w:val="both"/>
            </w:pPr>
            <w:r>
              <w:rPr>
                <w:sz w:val="21"/>
                <w:szCs w:val="21"/>
              </w:rPr>
              <w:t xml:space="preserve">     Inhibition de l’agrégation de </w:t>
            </w:r>
            <w:proofErr w:type="spellStart"/>
            <w:r>
              <w:rPr>
                <w:sz w:val="21"/>
                <w:szCs w:val="21"/>
              </w:rPr>
              <w:t>l’alpha-synucléine</w:t>
            </w:r>
            <w:proofErr w:type="spellEnd"/>
            <w:r>
              <w:rPr>
                <w:sz w:val="21"/>
                <w:szCs w:val="21"/>
              </w:rPr>
              <w:t xml:space="preserve"> → réduction des corps de </w:t>
            </w:r>
            <w:proofErr w:type="spellStart"/>
            <w:r>
              <w:rPr>
                <w:sz w:val="21"/>
                <w:szCs w:val="21"/>
              </w:rPr>
              <w:t>Lewy</w:t>
            </w:r>
            <w:proofErr w:type="spellEnd"/>
            <w:r>
              <w:rPr>
                <w:sz w:val="21"/>
                <w:szCs w:val="21"/>
              </w:rPr>
              <w:t xml:space="preserve"> (Parkinson).</w:t>
            </w:r>
          </w:p>
          <w:p w14:paraId="4DF82423" w14:textId="77777777" w:rsidR="00EB3894" w:rsidRDefault="00187C97">
            <w:pPr>
              <w:spacing w:before="28" w:after="28"/>
              <w:jc w:val="both"/>
            </w:pPr>
            <w:r>
              <w:rPr>
                <w:sz w:val="21"/>
                <w:szCs w:val="21"/>
              </w:rPr>
              <w:t xml:space="preserve">     Modulation de l’expression des gènes impliqués dans le métabolisme de l’amyloïde (Alzheimer).</w:t>
            </w:r>
          </w:p>
        </w:tc>
      </w:tr>
    </w:tbl>
    <w:p w14:paraId="652BE696" w14:textId="77777777" w:rsidR="00EB3894" w:rsidRDefault="00EB3894">
      <w:pPr>
        <w:spacing w:before="80"/>
      </w:pPr>
    </w:p>
    <w:p w14:paraId="6039F104" w14:textId="77777777" w:rsidR="00EB3894" w:rsidRDefault="00187C97">
      <w:pPr>
        <w:spacing w:before="60" w:after="60"/>
        <w:jc w:val="both"/>
      </w:pPr>
      <w:r>
        <w:t xml:space="preserve">En France, près de </w:t>
      </w:r>
      <w:r>
        <w:rPr>
          <w:b/>
          <w:bCs/>
          <w:color w:val="E8835A"/>
        </w:rPr>
        <w:t>80 % de la population présente un déficit en vitamine D</w:t>
      </w:r>
      <w:r>
        <w:t xml:space="preserve"> (&lt; 30 </w:t>
      </w:r>
      <w:proofErr w:type="spellStart"/>
      <w:r>
        <w:t>ng</w:t>
      </w:r>
      <w:proofErr w:type="spellEnd"/>
      <w:r>
        <w:t xml:space="preserve">/mL), et plus de 50 % un déficit sévère (&lt; 20 </w:t>
      </w:r>
      <w:proofErr w:type="spellStart"/>
      <w:r>
        <w:t>ng</w:t>
      </w:r>
      <w:proofErr w:type="spellEnd"/>
      <w:r>
        <w:t xml:space="preserve">/mL). Chez la personne âgée, la synthèse cutanée est réduite de 70 % comparée à un adulte jeune. La </w:t>
      </w:r>
      <w:proofErr w:type="spellStart"/>
      <w:r>
        <w:t>supplémentation</w:t>
      </w:r>
      <w:proofErr w:type="spellEnd"/>
      <w:r>
        <w:t xml:space="preserve"> systématique est justifiée, idéalement guidée par le dosage sérique (25-OH-D). L’objectif thérapeutique est de 60 à 80 </w:t>
      </w:r>
      <w:proofErr w:type="spellStart"/>
      <w:r>
        <w:t>ng</w:t>
      </w:r>
      <w:proofErr w:type="spellEnd"/>
      <w:r>
        <w:t>/mL.</w:t>
      </w:r>
    </w:p>
    <w:p w14:paraId="29E00F34" w14:textId="77777777" w:rsidR="00EB3894" w:rsidRDefault="00EB3894">
      <w:pPr>
        <w:spacing w:before="60"/>
      </w:pPr>
    </w:p>
    <w:p w14:paraId="13B4152F" w14:textId="77777777" w:rsidR="00EB3894" w:rsidRDefault="00187C97">
      <w:pPr>
        <w:spacing w:before="60" w:after="60"/>
        <w:jc w:val="both"/>
      </w:pPr>
      <w:r>
        <w:rPr>
          <w:b/>
          <w:bCs/>
          <w:color w:val="E8835A"/>
        </w:rPr>
        <w:t xml:space="preserve">Note importante : </w:t>
      </w:r>
      <w:r>
        <w:t>la vitamine D3 (</w:t>
      </w:r>
      <w:proofErr w:type="spellStart"/>
      <w:r>
        <w:t>cholécalciférol</w:t>
      </w:r>
      <w:proofErr w:type="spellEnd"/>
      <w:r>
        <w:t>) doit être associée à la vitamine K2 (</w:t>
      </w:r>
      <w:proofErr w:type="spellStart"/>
      <w:r>
        <w:t>ménaquinone-7</w:t>
      </w:r>
      <w:proofErr w:type="spellEnd"/>
      <w:r>
        <w:t xml:space="preserve">) pour orienter le calcium vers les os et les dents plutôt que vers les artères et les tissus mous. Cette association est systématiquement recommandée en cas de </w:t>
      </w:r>
      <w:proofErr w:type="spellStart"/>
      <w:r>
        <w:t>supplémentation</w:t>
      </w:r>
      <w:proofErr w:type="spellEnd"/>
      <w:r>
        <w:t xml:space="preserve"> à doses importantes.</w:t>
      </w:r>
    </w:p>
    <w:p w14:paraId="7E9D7700" w14:textId="77777777" w:rsidR="00EB3894" w:rsidRDefault="00187C97">
      <w:r>
        <w:br w:type="page"/>
      </w:r>
    </w:p>
    <w:p w14:paraId="79EB2D6A" w14:textId="77777777" w:rsidR="00EB3894" w:rsidRDefault="00187C97">
      <w:pPr>
        <w:pBdr>
          <w:bottom w:val="single" w:sz="12" w:space="4" w:color="E8835A"/>
        </w:pBdr>
        <w:spacing w:before="280" w:after="110"/>
      </w:pPr>
      <w:r>
        <w:rPr>
          <w:b/>
          <w:bCs/>
          <w:color w:val="4B3F8F"/>
          <w:sz w:val="27"/>
          <w:szCs w:val="27"/>
        </w:rPr>
        <w:lastRenderedPageBreak/>
        <w:t>9. Les plantes et champignons à action neurologique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EB3894" w14:paraId="5CA97E59" w14:textId="77777777">
        <w:tblPrEx>
          <w:tblCellMar>
            <w:top w:w="0" w:type="dxa"/>
            <w:bottom w:w="0" w:type="dxa"/>
          </w:tblCellMar>
        </w:tblPrEx>
        <w:tc>
          <w:tcPr>
            <w:tcW w:w="2000"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4E3A236F" w14:textId="77777777" w:rsidR="00EB3894" w:rsidRDefault="00187C97">
            <w:pPr>
              <w:jc w:val="center"/>
            </w:pPr>
            <w:r>
              <w:rPr>
                <w:b/>
                <w:bCs/>
                <w:color w:val="FFFFFF"/>
                <w:sz w:val="21"/>
                <w:szCs w:val="21"/>
              </w:rPr>
              <w:t>Plante / champignon</w:t>
            </w:r>
          </w:p>
        </w:tc>
        <w:tc>
          <w:tcPr>
            <w:tcW w:w="2500"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276E30C4" w14:textId="77777777" w:rsidR="00EB3894" w:rsidRDefault="00187C97">
            <w:pPr>
              <w:jc w:val="center"/>
            </w:pPr>
            <w:r>
              <w:rPr>
                <w:b/>
                <w:bCs/>
                <w:color w:val="FFFFFF"/>
                <w:sz w:val="21"/>
                <w:szCs w:val="21"/>
              </w:rPr>
              <w:t>Cible moléculaire</w:t>
            </w:r>
          </w:p>
        </w:tc>
        <w:tc>
          <w:tcPr>
            <w:tcW w:w="4526"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4951A811" w14:textId="77777777" w:rsidR="00EB3894" w:rsidRDefault="00187C97">
            <w:pPr>
              <w:jc w:val="center"/>
            </w:pPr>
            <w:r>
              <w:rPr>
                <w:b/>
                <w:bCs/>
                <w:color w:val="FFFFFF"/>
                <w:sz w:val="21"/>
                <w:szCs w:val="21"/>
              </w:rPr>
              <w:t>Mécanisme d’action détaillé</w:t>
            </w:r>
          </w:p>
        </w:tc>
      </w:tr>
      <w:tr w:rsidR="00EB3894" w14:paraId="39650247" w14:textId="77777777">
        <w:tblPrEx>
          <w:tblCellMar>
            <w:top w:w="0" w:type="dxa"/>
            <w:bottom w:w="0" w:type="dxa"/>
          </w:tblCellMar>
        </w:tblPrEx>
        <w:tc>
          <w:tcPr>
            <w:tcW w:w="20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6D6104EE" w14:textId="77777777" w:rsidR="00EB3894" w:rsidRDefault="00187C97">
            <w:pPr>
              <w:spacing w:before="30" w:after="30"/>
            </w:pPr>
            <w:r>
              <w:rPr>
                <w:b/>
                <w:bCs/>
                <w:color w:val="4B3F8F"/>
                <w:sz w:val="20"/>
                <w:szCs w:val="20"/>
              </w:rPr>
              <w:t>Hydne Hérisson (</w:t>
            </w:r>
            <w:proofErr w:type="spellStart"/>
            <w:r>
              <w:rPr>
                <w:b/>
                <w:bCs/>
                <w:color w:val="4B3F8F"/>
                <w:sz w:val="20"/>
                <w:szCs w:val="20"/>
              </w:rPr>
              <w:t>Hericium</w:t>
            </w:r>
            <w:proofErr w:type="spellEnd"/>
            <w:r>
              <w:rPr>
                <w:b/>
                <w:bCs/>
                <w:color w:val="4B3F8F"/>
                <w:sz w:val="20"/>
                <w:szCs w:val="20"/>
              </w:rPr>
              <w:t xml:space="preserve"> </w:t>
            </w:r>
            <w:proofErr w:type="spellStart"/>
            <w:r>
              <w:rPr>
                <w:b/>
                <w:bCs/>
                <w:color w:val="4B3F8F"/>
                <w:sz w:val="20"/>
                <w:szCs w:val="20"/>
              </w:rPr>
              <w:t>erinaceus</w:t>
            </w:r>
            <w:proofErr w:type="spellEnd"/>
            <w:r>
              <w:rPr>
                <w:b/>
                <w:bCs/>
                <w:color w:val="4B3F8F"/>
                <w:sz w:val="20"/>
                <w:szCs w:val="20"/>
              </w:rPr>
              <w:t>)</w:t>
            </w:r>
          </w:p>
        </w:tc>
        <w:tc>
          <w:tcPr>
            <w:tcW w:w="2500" w:type="dxa"/>
            <w:tcBorders>
              <w:top w:val="single" w:sz="4" w:space="0" w:color="C4B8F0"/>
              <w:left w:val="single" w:sz="4" w:space="0" w:color="C4B8F0"/>
              <w:bottom w:val="single" w:sz="4" w:space="0" w:color="C4B8F0"/>
              <w:right w:val="single" w:sz="4" w:space="0" w:color="C4B8F0"/>
            </w:tcBorders>
            <w:shd w:val="clear" w:color="auto" w:fill="E2F4F2"/>
            <w:tcMar>
              <w:top w:w="90" w:type="dxa"/>
              <w:left w:w="150" w:type="dxa"/>
              <w:bottom w:w="90" w:type="dxa"/>
              <w:right w:w="100" w:type="dxa"/>
            </w:tcMar>
            <w:vAlign w:val="center"/>
          </w:tcPr>
          <w:p w14:paraId="3E070E2E" w14:textId="77777777" w:rsidR="00EB3894" w:rsidRDefault="00187C97">
            <w:pPr>
              <w:spacing w:before="30" w:after="30"/>
            </w:pPr>
            <w:r>
              <w:rPr>
                <w:i/>
                <w:iCs/>
                <w:color w:val="1B7A6E"/>
                <w:sz w:val="20"/>
                <w:szCs w:val="20"/>
              </w:rPr>
              <w:t>NGF (facteur de croissance nerveuse)</w:t>
            </w:r>
          </w:p>
        </w:tc>
        <w:tc>
          <w:tcPr>
            <w:tcW w:w="45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2FB7CDF5" w14:textId="77777777" w:rsidR="00EB3894" w:rsidRDefault="00187C97">
            <w:pPr>
              <w:spacing w:before="30" w:after="30"/>
            </w:pPr>
            <w:r>
              <w:rPr>
                <w:sz w:val="20"/>
                <w:szCs w:val="20"/>
              </w:rPr>
              <w:t xml:space="preserve">Les </w:t>
            </w:r>
            <w:proofErr w:type="spellStart"/>
            <w:r>
              <w:rPr>
                <w:sz w:val="20"/>
                <w:szCs w:val="20"/>
              </w:rPr>
              <w:t>héricenones</w:t>
            </w:r>
            <w:proofErr w:type="spellEnd"/>
            <w:r>
              <w:rPr>
                <w:sz w:val="20"/>
                <w:szCs w:val="20"/>
              </w:rPr>
              <w:t xml:space="preserve"> et </w:t>
            </w:r>
            <w:proofErr w:type="spellStart"/>
            <w:r>
              <w:rPr>
                <w:sz w:val="20"/>
                <w:szCs w:val="20"/>
              </w:rPr>
              <w:t>érinacinines</w:t>
            </w:r>
            <w:proofErr w:type="spellEnd"/>
            <w:r>
              <w:rPr>
                <w:sz w:val="20"/>
                <w:szCs w:val="20"/>
              </w:rPr>
              <w:t xml:space="preserve"> traversent la BHE et stimulent la synthèse du NGF dans l’hippocampe → </w:t>
            </w:r>
            <w:proofErr w:type="spellStart"/>
            <w:r>
              <w:rPr>
                <w:sz w:val="20"/>
                <w:szCs w:val="20"/>
              </w:rPr>
              <w:t>neurogenèse</w:t>
            </w:r>
            <w:proofErr w:type="spellEnd"/>
            <w:r>
              <w:rPr>
                <w:sz w:val="20"/>
                <w:szCs w:val="20"/>
              </w:rPr>
              <w:t xml:space="preserve">, renforcement synaptique, amélioration cognitive. Essai clinique randomisé contrôlé (Mori et al., 2009) : amélioration significative du MCI (mild cognitive </w:t>
            </w:r>
            <w:proofErr w:type="spellStart"/>
            <w:r>
              <w:rPr>
                <w:sz w:val="20"/>
                <w:szCs w:val="20"/>
              </w:rPr>
              <w:t>impairment</w:t>
            </w:r>
            <w:proofErr w:type="spellEnd"/>
            <w:r>
              <w:rPr>
                <w:sz w:val="20"/>
                <w:szCs w:val="20"/>
              </w:rPr>
              <w:t>).</w:t>
            </w:r>
          </w:p>
        </w:tc>
      </w:tr>
      <w:tr w:rsidR="00EB3894" w14:paraId="6C5247C5" w14:textId="77777777">
        <w:tblPrEx>
          <w:tblCellMar>
            <w:top w:w="0" w:type="dxa"/>
            <w:bottom w:w="0" w:type="dxa"/>
          </w:tblCellMar>
        </w:tblPrEx>
        <w:tc>
          <w:tcPr>
            <w:tcW w:w="20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73152233" w14:textId="77777777" w:rsidR="00EB3894" w:rsidRDefault="00187C97">
            <w:pPr>
              <w:spacing w:before="30" w:after="30"/>
            </w:pPr>
            <w:proofErr w:type="spellStart"/>
            <w:r>
              <w:rPr>
                <w:b/>
                <w:bCs/>
                <w:color w:val="4B3F8F"/>
                <w:sz w:val="20"/>
                <w:szCs w:val="20"/>
              </w:rPr>
              <w:t>Bacopa</w:t>
            </w:r>
            <w:proofErr w:type="spellEnd"/>
            <w:r>
              <w:rPr>
                <w:b/>
                <w:bCs/>
                <w:color w:val="4B3F8F"/>
                <w:sz w:val="20"/>
                <w:szCs w:val="20"/>
              </w:rPr>
              <w:t xml:space="preserve"> </w:t>
            </w:r>
            <w:proofErr w:type="spellStart"/>
            <w:r>
              <w:rPr>
                <w:b/>
                <w:bCs/>
                <w:color w:val="4B3F8F"/>
                <w:sz w:val="20"/>
                <w:szCs w:val="20"/>
              </w:rPr>
              <w:t>monnieri</w:t>
            </w:r>
            <w:proofErr w:type="spellEnd"/>
          </w:p>
        </w:tc>
        <w:tc>
          <w:tcPr>
            <w:tcW w:w="25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0CCDF884" w14:textId="77777777" w:rsidR="00EB3894" w:rsidRDefault="00187C97">
            <w:pPr>
              <w:spacing w:before="30" w:after="30"/>
            </w:pPr>
            <w:r>
              <w:rPr>
                <w:i/>
                <w:iCs/>
                <w:color w:val="1B7A6E"/>
                <w:sz w:val="20"/>
                <w:szCs w:val="20"/>
              </w:rPr>
              <w:t>Hippocampe / PKC / sérotonine</w:t>
            </w:r>
          </w:p>
        </w:tc>
        <w:tc>
          <w:tcPr>
            <w:tcW w:w="4526" w:type="dxa"/>
            <w:tcBorders>
              <w:top w:val="single" w:sz="4" w:space="0" w:color="C4B8F0"/>
              <w:left w:val="single" w:sz="4" w:space="0" w:color="C4B8F0"/>
              <w:bottom w:val="single" w:sz="4" w:space="0" w:color="C4B8F0"/>
              <w:right w:val="single" w:sz="4" w:space="0" w:color="C4B8F0"/>
            </w:tcBorders>
            <w:shd w:val="clear" w:color="auto" w:fill="F5F5F7"/>
            <w:tcMar>
              <w:top w:w="90" w:type="dxa"/>
              <w:left w:w="150" w:type="dxa"/>
              <w:bottom w:w="90" w:type="dxa"/>
              <w:right w:w="100" w:type="dxa"/>
            </w:tcMar>
            <w:vAlign w:val="center"/>
          </w:tcPr>
          <w:p w14:paraId="54C38857" w14:textId="77777777" w:rsidR="00EB3894" w:rsidRDefault="00187C97">
            <w:pPr>
              <w:spacing w:before="30" w:after="30"/>
            </w:pPr>
            <w:r>
              <w:rPr>
                <w:sz w:val="20"/>
                <w:szCs w:val="20"/>
              </w:rPr>
              <w:t xml:space="preserve">Les </w:t>
            </w:r>
            <w:proofErr w:type="spellStart"/>
            <w:r>
              <w:rPr>
                <w:sz w:val="20"/>
                <w:szCs w:val="20"/>
              </w:rPr>
              <w:t>bacosides</w:t>
            </w:r>
            <w:proofErr w:type="spellEnd"/>
            <w:r>
              <w:rPr>
                <w:sz w:val="20"/>
                <w:szCs w:val="20"/>
              </w:rPr>
              <w:t xml:space="preserve"> activent la protéine kinase C (PKC) et augmentent la synthèse protéique dans l’hippocampe → consolidation mémorielle à long terme. Effet modulateur sur les récepteurs </w:t>
            </w:r>
            <w:proofErr w:type="spellStart"/>
            <w:r>
              <w:rPr>
                <w:sz w:val="20"/>
                <w:szCs w:val="20"/>
              </w:rPr>
              <w:t>sérotonin</w:t>
            </w:r>
            <w:proofErr w:type="spellEnd"/>
            <w:r>
              <w:rPr>
                <w:sz w:val="20"/>
                <w:szCs w:val="20"/>
              </w:rPr>
              <w:t xml:space="preserve"> </w:t>
            </w:r>
            <w:proofErr w:type="spellStart"/>
            <w:r>
              <w:rPr>
                <w:sz w:val="20"/>
                <w:szCs w:val="20"/>
              </w:rPr>
              <w:t>ergiques</w:t>
            </w:r>
            <w:proofErr w:type="spellEnd"/>
            <w:r>
              <w:rPr>
                <w:sz w:val="20"/>
                <w:szCs w:val="20"/>
              </w:rPr>
              <w:t xml:space="preserve"> et cholinergiques. Amélioration de la vitesse de traitement de l’information et de la mémoire de travail.</w:t>
            </w:r>
          </w:p>
        </w:tc>
      </w:tr>
      <w:tr w:rsidR="00EB3894" w14:paraId="2C9BF594" w14:textId="77777777">
        <w:tblPrEx>
          <w:tblCellMar>
            <w:top w:w="0" w:type="dxa"/>
            <w:bottom w:w="0" w:type="dxa"/>
          </w:tblCellMar>
        </w:tblPrEx>
        <w:tc>
          <w:tcPr>
            <w:tcW w:w="20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2B984C6D" w14:textId="77777777" w:rsidR="00EB3894" w:rsidRDefault="00187C97">
            <w:pPr>
              <w:spacing w:before="30" w:after="30"/>
            </w:pPr>
            <w:r>
              <w:rPr>
                <w:b/>
                <w:bCs/>
                <w:color w:val="4B3F8F"/>
                <w:sz w:val="20"/>
                <w:szCs w:val="20"/>
              </w:rPr>
              <w:t xml:space="preserve">Ginkgo </w:t>
            </w:r>
            <w:proofErr w:type="spellStart"/>
            <w:r>
              <w:rPr>
                <w:b/>
                <w:bCs/>
                <w:color w:val="4B3F8F"/>
                <w:sz w:val="20"/>
                <w:szCs w:val="20"/>
              </w:rPr>
              <w:t>biloba</w:t>
            </w:r>
            <w:proofErr w:type="spellEnd"/>
          </w:p>
        </w:tc>
        <w:tc>
          <w:tcPr>
            <w:tcW w:w="2500" w:type="dxa"/>
            <w:tcBorders>
              <w:top w:val="single" w:sz="4" w:space="0" w:color="C4B8F0"/>
              <w:left w:val="single" w:sz="4" w:space="0" w:color="C4B8F0"/>
              <w:bottom w:val="single" w:sz="4" w:space="0" w:color="C4B8F0"/>
              <w:right w:val="single" w:sz="4" w:space="0" w:color="C4B8F0"/>
            </w:tcBorders>
            <w:shd w:val="clear" w:color="auto" w:fill="E2F4F2"/>
            <w:tcMar>
              <w:top w:w="90" w:type="dxa"/>
              <w:left w:w="150" w:type="dxa"/>
              <w:bottom w:w="90" w:type="dxa"/>
              <w:right w:w="100" w:type="dxa"/>
            </w:tcMar>
            <w:vAlign w:val="center"/>
          </w:tcPr>
          <w:p w14:paraId="0CB8AED1" w14:textId="77777777" w:rsidR="00EB3894" w:rsidRDefault="00187C97">
            <w:pPr>
              <w:spacing w:before="30" w:after="30"/>
            </w:pPr>
            <w:r>
              <w:rPr>
                <w:i/>
                <w:iCs/>
                <w:color w:val="1B7A6E"/>
                <w:sz w:val="20"/>
                <w:szCs w:val="20"/>
              </w:rPr>
              <w:t>Vasodilatation / PAF / MAO</w:t>
            </w:r>
          </w:p>
        </w:tc>
        <w:tc>
          <w:tcPr>
            <w:tcW w:w="45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24174AC4" w14:textId="77777777" w:rsidR="00EB3894" w:rsidRDefault="00187C97">
            <w:pPr>
              <w:spacing w:before="30" w:after="30"/>
            </w:pPr>
            <w:r>
              <w:rPr>
                <w:sz w:val="20"/>
                <w:szCs w:val="20"/>
              </w:rPr>
              <w:t xml:space="preserve">Les </w:t>
            </w:r>
            <w:proofErr w:type="spellStart"/>
            <w:r>
              <w:rPr>
                <w:sz w:val="20"/>
                <w:szCs w:val="20"/>
              </w:rPr>
              <w:t>ginkgolides</w:t>
            </w:r>
            <w:proofErr w:type="spellEnd"/>
            <w:r>
              <w:rPr>
                <w:sz w:val="20"/>
                <w:szCs w:val="20"/>
              </w:rPr>
              <w:t xml:space="preserve"> bloquent le Facteur d’Activation </w:t>
            </w:r>
            <w:proofErr w:type="spellStart"/>
            <w:r>
              <w:rPr>
                <w:sz w:val="20"/>
                <w:szCs w:val="20"/>
              </w:rPr>
              <w:t>Plaquettaire</w:t>
            </w:r>
            <w:proofErr w:type="spellEnd"/>
            <w:r>
              <w:rPr>
                <w:sz w:val="20"/>
                <w:szCs w:val="20"/>
              </w:rPr>
              <w:t xml:space="preserve"> (PAF) → réduction de la viscosité sanguine et amélioration du flux cérébral. Inhibiteurs de la MAO A et B → préservation de la dopamine et de la sérotonine. Augmente le captage </w:t>
            </w:r>
            <w:proofErr w:type="spellStart"/>
            <w:r>
              <w:rPr>
                <w:sz w:val="20"/>
                <w:szCs w:val="20"/>
              </w:rPr>
              <w:t>neuronal</w:t>
            </w:r>
            <w:proofErr w:type="spellEnd"/>
            <w:r>
              <w:rPr>
                <w:sz w:val="20"/>
                <w:szCs w:val="20"/>
              </w:rPr>
              <w:t xml:space="preserve"> de glucose et d’O2.</w:t>
            </w:r>
          </w:p>
        </w:tc>
      </w:tr>
      <w:tr w:rsidR="00EB3894" w14:paraId="57660B0D" w14:textId="77777777">
        <w:tblPrEx>
          <w:tblCellMar>
            <w:top w:w="0" w:type="dxa"/>
            <w:bottom w:w="0" w:type="dxa"/>
          </w:tblCellMar>
        </w:tblPrEx>
        <w:tc>
          <w:tcPr>
            <w:tcW w:w="20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76290754" w14:textId="77777777" w:rsidR="00EB3894" w:rsidRDefault="00187C97">
            <w:pPr>
              <w:spacing w:before="30" w:after="30"/>
            </w:pPr>
            <w:proofErr w:type="spellStart"/>
            <w:r>
              <w:rPr>
                <w:b/>
                <w:bCs/>
                <w:color w:val="4B3F8F"/>
                <w:sz w:val="20"/>
                <w:szCs w:val="20"/>
              </w:rPr>
              <w:t>Polygala</w:t>
            </w:r>
            <w:proofErr w:type="spellEnd"/>
            <w:r>
              <w:rPr>
                <w:b/>
                <w:bCs/>
                <w:color w:val="4B3F8F"/>
                <w:sz w:val="20"/>
                <w:szCs w:val="20"/>
              </w:rPr>
              <w:t xml:space="preserve"> </w:t>
            </w:r>
            <w:proofErr w:type="spellStart"/>
            <w:r>
              <w:rPr>
                <w:b/>
                <w:bCs/>
                <w:color w:val="4B3F8F"/>
                <w:sz w:val="20"/>
                <w:szCs w:val="20"/>
              </w:rPr>
              <w:t>tenuifolia</w:t>
            </w:r>
            <w:proofErr w:type="spellEnd"/>
            <w:r>
              <w:rPr>
                <w:b/>
                <w:bCs/>
                <w:color w:val="4B3F8F"/>
                <w:sz w:val="20"/>
                <w:szCs w:val="20"/>
              </w:rPr>
              <w:t xml:space="preserve"> (Yuan </w:t>
            </w:r>
            <w:proofErr w:type="spellStart"/>
            <w:r>
              <w:rPr>
                <w:b/>
                <w:bCs/>
                <w:color w:val="4B3F8F"/>
                <w:sz w:val="20"/>
                <w:szCs w:val="20"/>
              </w:rPr>
              <w:t>Zhi</w:t>
            </w:r>
            <w:proofErr w:type="spellEnd"/>
            <w:r>
              <w:rPr>
                <w:b/>
                <w:bCs/>
                <w:color w:val="4B3F8F"/>
                <w:sz w:val="20"/>
                <w:szCs w:val="20"/>
              </w:rPr>
              <w:t>)</w:t>
            </w:r>
          </w:p>
        </w:tc>
        <w:tc>
          <w:tcPr>
            <w:tcW w:w="25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1F0B162E" w14:textId="77777777" w:rsidR="00EB3894" w:rsidRDefault="00187C97">
            <w:pPr>
              <w:spacing w:before="30" w:after="30"/>
            </w:pPr>
            <w:r>
              <w:rPr>
                <w:i/>
                <w:iCs/>
                <w:color w:val="1B7A6E"/>
                <w:sz w:val="20"/>
                <w:szCs w:val="20"/>
              </w:rPr>
              <w:t xml:space="preserve">Cellules souches </w:t>
            </w:r>
            <w:proofErr w:type="spellStart"/>
            <w:r>
              <w:rPr>
                <w:i/>
                <w:iCs/>
                <w:color w:val="1B7A6E"/>
                <w:sz w:val="20"/>
                <w:szCs w:val="20"/>
              </w:rPr>
              <w:t>neuronales</w:t>
            </w:r>
            <w:proofErr w:type="spellEnd"/>
            <w:r>
              <w:rPr>
                <w:i/>
                <w:iCs/>
                <w:color w:val="1B7A6E"/>
                <w:sz w:val="20"/>
                <w:szCs w:val="20"/>
              </w:rPr>
              <w:t xml:space="preserve"> / Alzheimer</w:t>
            </w:r>
          </w:p>
        </w:tc>
        <w:tc>
          <w:tcPr>
            <w:tcW w:w="4526" w:type="dxa"/>
            <w:tcBorders>
              <w:top w:val="single" w:sz="4" w:space="0" w:color="C4B8F0"/>
              <w:left w:val="single" w:sz="4" w:space="0" w:color="C4B8F0"/>
              <w:bottom w:val="single" w:sz="4" w:space="0" w:color="C4B8F0"/>
              <w:right w:val="single" w:sz="4" w:space="0" w:color="C4B8F0"/>
            </w:tcBorders>
            <w:shd w:val="clear" w:color="auto" w:fill="F5F5F7"/>
            <w:tcMar>
              <w:top w:w="90" w:type="dxa"/>
              <w:left w:w="150" w:type="dxa"/>
              <w:bottom w:w="90" w:type="dxa"/>
              <w:right w:w="100" w:type="dxa"/>
            </w:tcMar>
            <w:vAlign w:val="center"/>
          </w:tcPr>
          <w:p w14:paraId="075EB583" w14:textId="77777777" w:rsidR="00EB3894" w:rsidRDefault="00187C97">
            <w:pPr>
              <w:spacing w:before="30" w:after="30"/>
            </w:pPr>
            <w:r>
              <w:rPr>
                <w:sz w:val="20"/>
                <w:szCs w:val="20"/>
              </w:rPr>
              <w:t xml:space="preserve">Les </w:t>
            </w:r>
            <w:proofErr w:type="spellStart"/>
            <w:r>
              <w:rPr>
                <w:sz w:val="20"/>
                <w:szCs w:val="20"/>
              </w:rPr>
              <w:t>saponines</w:t>
            </w:r>
            <w:proofErr w:type="spellEnd"/>
            <w:r>
              <w:rPr>
                <w:sz w:val="20"/>
                <w:szCs w:val="20"/>
              </w:rPr>
              <w:t xml:space="preserve"> de </w:t>
            </w:r>
            <w:proofErr w:type="spellStart"/>
            <w:r>
              <w:rPr>
                <w:sz w:val="20"/>
                <w:szCs w:val="20"/>
              </w:rPr>
              <w:t>polygala</w:t>
            </w:r>
            <w:proofErr w:type="spellEnd"/>
            <w:r>
              <w:rPr>
                <w:sz w:val="20"/>
                <w:szCs w:val="20"/>
              </w:rPr>
              <w:t xml:space="preserve"> régulent la différenciation des cellules souches </w:t>
            </w:r>
            <w:proofErr w:type="spellStart"/>
            <w:r>
              <w:rPr>
                <w:sz w:val="20"/>
                <w:szCs w:val="20"/>
              </w:rPr>
              <w:t>neuronales</w:t>
            </w:r>
            <w:proofErr w:type="spellEnd"/>
            <w:r>
              <w:rPr>
                <w:sz w:val="20"/>
                <w:szCs w:val="20"/>
              </w:rPr>
              <w:t xml:space="preserve"> de l’hippocampe. Inhibent la </w:t>
            </w:r>
            <w:proofErr w:type="spellStart"/>
            <w:r>
              <w:rPr>
                <w:sz w:val="20"/>
                <w:szCs w:val="20"/>
              </w:rPr>
              <w:t>sécrétase</w:t>
            </w:r>
            <w:proofErr w:type="spellEnd"/>
            <w:r>
              <w:rPr>
                <w:sz w:val="20"/>
                <w:szCs w:val="20"/>
              </w:rPr>
              <w:t xml:space="preserve"> bêta (enzyme de clivage de l’APP en peptide Aβ). Réduction des agrégats amyloïdes dans des modèles animaux Alzheimer.</w:t>
            </w:r>
          </w:p>
        </w:tc>
      </w:tr>
      <w:tr w:rsidR="00EB3894" w14:paraId="21D189CD" w14:textId="77777777">
        <w:tblPrEx>
          <w:tblCellMar>
            <w:top w:w="0" w:type="dxa"/>
            <w:bottom w:w="0" w:type="dxa"/>
          </w:tblCellMar>
        </w:tblPrEx>
        <w:tc>
          <w:tcPr>
            <w:tcW w:w="20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00C2CEDD" w14:textId="77777777" w:rsidR="00EB3894" w:rsidRDefault="00187C97">
            <w:pPr>
              <w:spacing w:before="30" w:after="30"/>
            </w:pPr>
            <w:proofErr w:type="spellStart"/>
            <w:r>
              <w:rPr>
                <w:b/>
                <w:bCs/>
                <w:color w:val="4B3F8F"/>
                <w:sz w:val="20"/>
                <w:szCs w:val="20"/>
              </w:rPr>
              <w:t>Centella</w:t>
            </w:r>
            <w:proofErr w:type="spellEnd"/>
            <w:r>
              <w:rPr>
                <w:b/>
                <w:bCs/>
                <w:color w:val="4B3F8F"/>
                <w:sz w:val="20"/>
                <w:szCs w:val="20"/>
              </w:rPr>
              <w:t xml:space="preserve"> </w:t>
            </w:r>
            <w:proofErr w:type="spellStart"/>
            <w:r>
              <w:rPr>
                <w:b/>
                <w:bCs/>
                <w:color w:val="4B3F8F"/>
                <w:sz w:val="20"/>
                <w:szCs w:val="20"/>
              </w:rPr>
              <w:t>asiatica</w:t>
            </w:r>
            <w:proofErr w:type="spellEnd"/>
          </w:p>
        </w:tc>
        <w:tc>
          <w:tcPr>
            <w:tcW w:w="2500" w:type="dxa"/>
            <w:tcBorders>
              <w:top w:val="single" w:sz="4" w:space="0" w:color="C4B8F0"/>
              <w:left w:val="single" w:sz="4" w:space="0" w:color="C4B8F0"/>
              <w:bottom w:val="single" w:sz="4" w:space="0" w:color="C4B8F0"/>
              <w:right w:val="single" w:sz="4" w:space="0" w:color="C4B8F0"/>
            </w:tcBorders>
            <w:shd w:val="clear" w:color="auto" w:fill="E2F4F2"/>
            <w:tcMar>
              <w:top w:w="90" w:type="dxa"/>
              <w:left w:w="150" w:type="dxa"/>
              <w:bottom w:w="90" w:type="dxa"/>
              <w:right w:w="100" w:type="dxa"/>
            </w:tcMar>
            <w:vAlign w:val="center"/>
          </w:tcPr>
          <w:p w14:paraId="4C869F4B" w14:textId="77777777" w:rsidR="00EB3894" w:rsidRDefault="00187C97">
            <w:pPr>
              <w:spacing w:before="30" w:after="30"/>
            </w:pPr>
            <w:proofErr w:type="spellStart"/>
            <w:r>
              <w:rPr>
                <w:i/>
                <w:iCs/>
                <w:color w:val="1B7A6E"/>
                <w:sz w:val="20"/>
                <w:szCs w:val="20"/>
              </w:rPr>
              <w:t>Dédritage</w:t>
            </w:r>
            <w:proofErr w:type="spellEnd"/>
            <w:r>
              <w:rPr>
                <w:i/>
                <w:iCs/>
                <w:color w:val="1B7A6E"/>
                <w:sz w:val="20"/>
                <w:szCs w:val="20"/>
              </w:rPr>
              <w:t xml:space="preserve"> dendritique / BHE</w:t>
            </w:r>
          </w:p>
        </w:tc>
        <w:tc>
          <w:tcPr>
            <w:tcW w:w="45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6399E420" w14:textId="77777777" w:rsidR="00EB3894" w:rsidRDefault="00187C97">
            <w:pPr>
              <w:spacing w:before="30" w:after="30"/>
            </w:pPr>
            <w:r>
              <w:rPr>
                <w:sz w:val="20"/>
                <w:szCs w:val="20"/>
              </w:rPr>
              <w:t xml:space="preserve">L’acide asiatique et </w:t>
            </w:r>
            <w:proofErr w:type="spellStart"/>
            <w:r>
              <w:rPr>
                <w:sz w:val="20"/>
                <w:szCs w:val="20"/>
              </w:rPr>
              <w:t>l’asiaticoside</w:t>
            </w:r>
            <w:proofErr w:type="spellEnd"/>
            <w:r>
              <w:rPr>
                <w:sz w:val="20"/>
                <w:szCs w:val="20"/>
              </w:rPr>
              <w:t xml:space="preserve"> stimulent la croissance des dendrites et des axones neuronaux, améliorant la connectivité synaptique. Renforcent les jonctions serrées de la BHE. Action </w:t>
            </w:r>
            <w:proofErr w:type="spellStart"/>
            <w:r>
              <w:rPr>
                <w:sz w:val="20"/>
                <w:szCs w:val="20"/>
              </w:rPr>
              <w:t>ant</w:t>
            </w:r>
            <w:proofErr w:type="spellEnd"/>
            <w:r>
              <w:rPr>
                <w:sz w:val="20"/>
                <w:szCs w:val="20"/>
              </w:rPr>
              <w:t xml:space="preserve"> i-amyloïde documentée dans des modèles Alzheimer in vitro.</w:t>
            </w:r>
          </w:p>
        </w:tc>
      </w:tr>
      <w:tr w:rsidR="00EB3894" w14:paraId="3B91A02A" w14:textId="77777777">
        <w:tblPrEx>
          <w:tblCellMar>
            <w:top w:w="0" w:type="dxa"/>
            <w:bottom w:w="0" w:type="dxa"/>
          </w:tblCellMar>
        </w:tblPrEx>
        <w:tc>
          <w:tcPr>
            <w:tcW w:w="20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7EA03FB5" w14:textId="77777777" w:rsidR="00EB3894" w:rsidRDefault="00187C97">
            <w:pPr>
              <w:spacing w:before="30" w:after="30"/>
            </w:pPr>
            <w:proofErr w:type="spellStart"/>
            <w:r>
              <w:rPr>
                <w:b/>
                <w:bCs/>
                <w:color w:val="4B3F8F"/>
                <w:sz w:val="20"/>
                <w:szCs w:val="20"/>
              </w:rPr>
              <w:t>Astaxanthine</w:t>
            </w:r>
            <w:proofErr w:type="spellEnd"/>
          </w:p>
        </w:tc>
        <w:tc>
          <w:tcPr>
            <w:tcW w:w="25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64B8F278" w14:textId="77777777" w:rsidR="00EB3894" w:rsidRDefault="00187C97">
            <w:pPr>
              <w:spacing w:before="30" w:after="30"/>
            </w:pPr>
            <w:proofErr w:type="spellStart"/>
            <w:r>
              <w:rPr>
                <w:i/>
                <w:iCs/>
                <w:color w:val="1B7A6E"/>
                <w:sz w:val="20"/>
                <w:szCs w:val="20"/>
              </w:rPr>
              <w:t>Mitochondrie</w:t>
            </w:r>
            <w:proofErr w:type="spellEnd"/>
            <w:r>
              <w:rPr>
                <w:i/>
                <w:iCs/>
                <w:color w:val="1B7A6E"/>
                <w:sz w:val="20"/>
                <w:szCs w:val="20"/>
              </w:rPr>
              <w:t xml:space="preserve"> / </w:t>
            </w:r>
            <w:proofErr w:type="spellStart"/>
            <w:r>
              <w:rPr>
                <w:i/>
                <w:iCs/>
                <w:color w:val="1B7A6E"/>
                <w:sz w:val="20"/>
                <w:szCs w:val="20"/>
              </w:rPr>
              <w:t>peroxydation</w:t>
            </w:r>
            <w:proofErr w:type="spellEnd"/>
            <w:r>
              <w:rPr>
                <w:i/>
                <w:iCs/>
                <w:color w:val="1B7A6E"/>
                <w:sz w:val="20"/>
                <w:szCs w:val="20"/>
              </w:rPr>
              <w:t xml:space="preserve"> lipidique</w:t>
            </w:r>
          </w:p>
        </w:tc>
        <w:tc>
          <w:tcPr>
            <w:tcW w:w="4526" w:type="dxa"/>
            <w:tcBorders>
              <w:top w:val="single" w:sz="4" w:space="0" w:color="C4B8F0"/>
              <w:left w:val="single" w:sz="4" w:space="0" w:color="C4B8F0"/>
              <w:bottom w:val="single" w:sz="4" w:space="0" w:color="C4B8F0"/>
              <w:right w:val="single" w:sz="4" w:space="0" w:color="C4B8F0"/>
            </w:tcBorders>
            <w:shd w:val="clear" w:color="auto" w:fill="F5F5F7"/>
            <w:tcMar>
              <w:top w:w="90" w:type="dxa"/>
              <w:left w:w="150" w:type="dxa"/>
              <w:bottom w:w="90" w:type="dxa"/>
              <w:right w:w="100" w:type="dxa"/>
            </w:tcMar>
            <w:vAlign w:val="center"/>
          </w:tcPr>
          <w:p w14:paraId="263ADF34" w14:textId="77777777" w:rsidR="00EB3894" w:rsidRDefault="00187C97">
            <w:pPr>
              <w:spacing w:before="30" w:after="30"/>
            </w:pPr>
            <w:proofErr w:type="spellStart"/>
            <w:r>
              <w:rPr>
                <w:sz w:val="20"/>
                <w:szCs w:val="20"/>
              </w:rPr>
              <w:t>Caroténoïde</w:t>
            </w:r>
            <w:proofErr w:type="spellEnd"/>
            <w:r>
              <w:rPr>
                <w:sz w:val="20"/>
                <w:szCs w:val="20"/>
              </w:rPr>
              <w:t xml:space="preserve"> à l’index antioxydant exceptionnel (500x &gt; vit E). Traverse la BHE. Se concentre dans les membranes </w:t>
            </w:r>
            <w:proofErr w:type="spellStart"/>
            <w:r>
              <w:rPr>
                <w:sz w:val="20"/>
                <w:szCs w:val="20"/>
              </w:rPr>
              <w:t>mitochondriales</w:t>
            </w:r>
            <w:proofErr w:type="spellEnd"/>
            <w:r>
              <w:rPr>
                <w:sz w:val="20"/>
                <w:szCs w:val="20"/>
              </w:rPr>
              <w:t xml:space="preserve"> et réduit la </w:t>
            </w:r>
            <w:proofErr w:type="spellStart"/>
            <w:r>
              <w:rPr>
                <w:sz w:val="20"/>
                <w:szCs w:val="20"/>
              </w:rPr>
              <w:t>peroxydation</w:t>
            </w:r>
            <w:proofErr w:type="spellEnd"/>
            <w:r>
              <w:rPr>
                <w:sz w:val="20"/>
                <w:szCs w:val="20"/>
              </w:rPr>
              <w:t xml:space="preserve"> des acides gras </w:t>
            </w:r>
            <w:proofErr w:type="spellStart"/>
            <w:r>
              <w:rPr>
                <w:sz w:val="20"/>
                <w:szCs w:val="20"/>
              </w:rPr>
              <w:t>polyinsaturés</w:t>
            </w:r>
            <w:proofErr w:type="spellEnd"/>
            <w:r>
              <w:rPr>
                <w:sz w:val="20"/>
                <w:szCs w:val="20"/>
              </w:rPr>
              <w:t xml:space="preserve">. Inhibe l’activation de NF-κB. Effets protecteurs sur les neurones </w:t>
            </w:r>
            <w:proofErr w:type="spellStart"/>
            <w:r>
              <w:rPr>
                <w:sz w:val="20"/>
                <w:szCs w:val="20"/>
              </w:rPr>
              <w:t>dopaminergiques</w:t>
            </w:r>
            <w:proofErr w:type="spellEnd"/>
            <w:r>
              <w:rPr>
                <w:sz w:val="20"/>
                <w:szCs w:val="20"/>
              </w:rPr>
              <w:t xml:space="preserve"> (Parkinson) dans des modèles animaux.</w:t>
            </w:r>
          </w:p>
        </w:tc>
      </w:tr>
    </w:tbl>
    <w:p w14:paraId="5CBA2FAA" w14:textId="77777777" w:rsidR="00EB3894" w:rsidRDefault="00187C97">
      <w:r>
        <w:br w:type="page"/>
      </w:r>
    </w:p>
    <w:p w14:paraId="6DC386BD" w14:textId="77777777" w:rsidR="00EB3894" w:rsidRDefault="00187C97">
      <w:pPr>
        <w:pBdr>
          <w:bottom w:val="single" w:sz="12" w:space="4" w:color="E8835A"/>
        </w:pBdr>
        <w:spacing w:before="280" w:after="110"/>
      </w:pPr>
      <w:r>
        <w:rPr>
          <w:b/>
          <w:bCs/>
          <w:color w:val="4B3F8F"/>
          <w:sz w:val="27"/>
          <w:szCs w:val="27"/>
        </w:rPr>
        <w:lastRenderedPageBreak/>
        <w:t>10. Synthèse : relier chaque recommandation à son mécanisme</w:t>
      </w:r>
    </w:p>
    <w:p w14:paraId="0114F5C7" w14:textId="77777777" w:rsidR="00EB3894" w:rsidRDefault="00187C97">
      <w:pPr>
        <w:spacing w:before="60" w:after="60"/>
        <w:jc w:val="both"/>
      </w:pPr>
      <w:r>
        <w:rPr>
          <w:i/>
          <w:iCs/>
        </w:rPr>
        <w:t>Ce tableau récapitulatif permet de justifier chaque conseil en nommant précisément le mécanisme biologique ciblé.</w:t>
      </w:r>
    </w:p>
    <w:p w14:paraId="1C25832D" w14:textId="77777777" w:rsidR="00EB3894" w:rsidRDefault="00EB389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EB3894" w14:paraId="486224F8" w14:textId="77777777">
        <w:tblPrEx>
          <w:tblCellMar>
            <w:top w:w="0" w:type="dxa"/>
            <w:bottom w:w="0" w:type="dxa"/>
          </w:tblCellMar>
        </w:tblPrEx>
        <w:tc>
          <w:tcPr>
            <w:tcW w:w="2200"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66260B72" w14:textId="77777777" w:rsidR="00EB3894" w:rsidRDefault="00187C97">
            <w:pPr>
              <w:jc w:val="center"/>
            </w:pPr>
            <w:r>
              <w:rPr>
                <w:b/>
                <w:bCs/>
                <w:color w:val="FFFFFF"/>
                <w:sz w:val="21"/>
                <w:szCs w:val="21"/>
              </w:rPr>
              <w:t>Recommandation</w:t>
            </w:r>
          </w:p>
        </w:tc>
        <w:tc>
          <w:tcPr>
            <w:tcW w:w="2200"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5C91FF4C" w14:textId="77777777" w:rsidR="00EB3894" w:rsidRDefault="00187C97">
            <w:pPr>
              <w:jc w:val="center"/>
            </w:pPr>
            <w:r>
              <w:rPr>
                <w:b/>
                <w:bCs/>
                <w:color w:val="FFFFFF"/>
                <w:sz w:val="21"/>
                <w:szCs w:val="21"/>
              </w:rPr>
              <w:t>Mécanisme ciblé</w:t>
            </w:r>
          </w:p>
        </w:tc>
        <w:tc>
          <w:tcPr>
            <w:tcW w:w="4626" w:type="dxa"/>
            <w:tcBorders>
              <w:top w:val="single" w:sz="4" w:space="0" w:color="4B3F8F"/>
              <w:left w:val="single" w:sz="4" w:space="0" w:color="4B3F8F"/>
              <w:bottom w:val="single" w:sz="4" w:space="0" w:color="4B3F8F"/>
              <w:right w:val="single" w:sz="4" w:space="0" w:color="4B3F8F"/>
            </w:tcBorders>
            <w:shd w:val="clear" w:color="auto" w:fill="4B3F8F"/>
            <w:tcMar>
              <w:top w:w="100" w:type="dxa"/>
              <w:left w:w="130" w:type="dxa"/>
              <w:bottom w:w="100" w:type="dxa"/>
              <w:right w:w="90" w:type="dxa"/>
            </w:tcMar>
            <w:vAlign w:val="center"/>
          </w:tcPr>
          <w:p w14:paraId="67FBF7E6" w14:textId="77777777" w:rsidR="00EB3894" w:rsidRDefault="00187C97">
            <w:pPr>
              <w:jc w:val="center"/>
            </w:pPr>
            <w:r>
              <w:rPr>
                <w:b/>
                <w:bCs/>
                <w:color w:val="FFFFFF"/>
                <w:sz w:val="21"/>
                <w:szCs w:val="21"/>
              </w:rPr>
              <w:t>Justification biologique en langage accessible</w:t>
            </w:r>
          </w:p>
        </w:tc>
      </w:tr>
      <w:tr w:rsidR="00EB3894" w14:paraId="6093E10E"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783125F1" w14:textId="77777777" w:rsidR="00EB3894" w:rsidRDefault="00187C97">
            <w:pPr>
              <w:spacing w:before="30" w:after="30"/>
            </w:pPr>
            <w:r>
              <w:rPr>
                <w:b/>
                <w:bCs/>
                <w:color w:val="4B3F8F"/>
                <w:sz w:val="20"/>
                <w:szCs w:val="20"/>
              </w:rPr>
              <w:t>Omega-3 EPA/DHA</w:t>
            </w:r>
          </w:p>
        </w:tc>
        <w:tc>
          <w:tcPr>
            <w:tcW w:w="2200" w:type="dxa"/>
            <w:tcBorders>
              <w:top w:val="single" w:sz="4" w:space="0" w:color="C4B8F0"/>
              <w:left w:val="single" w:sz="4" w:space="0" w:color="C4B8F0"/>
              <w:bottom w:val="single" w:sz="4" w:space="0" w:color="C4B8F0"/>
              <w:right w:val="single" w:sz="4" w:space="0" w:color="C4B8F0"/>
            </w:tcBorders>
            <w:shd w:val="clear" w:color="auto" w:fill="E2F4F2"/>
            <w:tcMar>
              <w:top w:w="90" w:type="dxa"/>
              <w:left w:w="150" w:type="dxa"/>
              <w:bottom w:w="90" w:type="dxa"/>
              <w:right w:w="100" w:type="dxa"/>
            </w:tcMar>
            <w:vAlign w:val="center"/>
          </w:tcPr>
          <w:p w14:paraId="10898551" w14:textId="77777777" w:rsidR="00EB3894" w:rsidRDefault="00187C97">
            <w:pPr>
              <w:spacing w:before="30" w:after="30"/>
            </w:pPr>
            <w:r>
              <w:rPr>
                <w:i/>
                <w:iCs/>
                <w:color w:val="1B7A6E"/>
                <w:sz w:val="20"/>
                <w:szCs w:val="20"/>
              </w:rPr>
              <w:t xml:space="preserve">Membrane </w:t>
            </w:r>
            <w:proofErr w:type="spellStart"/>
            <w:r>
              <w:rPr>
                <w:i/>
                <w:iCs/>
                <w:color w:val="1B7A6E"/>
                <w:sz w:val="20"/>
                <w:szCs w:val="20"/>
              </w:rPr>
              <w:t>neuronale</w:t>
            </w:r>
            <w:proofErr w:type="spellEnd"/>
            <w:r>
              <w:rPr>
                <w:i/>
                <w:iCs/>
                <w:color w:val="1B7A6E"/>
                <w:sz w:val="20"/>
                <w:szCs w:val="20"/>
              </w:rPr>
              <w:t xml:space="preserve"> + inflammation</w:t>
            </w:r>
          </w:p>
        </w:tc>
        <w:tc>
          <w:tcPr>
            <w:tcW w:w="46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06CC2429" w14:textId="77777777" w:rsidR="00EB3894" w:rsidRDefault="00187C97">
            <w:pPr>
              <w:spacing w:before="30" w:after="30"/>
            </w:pPr>
            <w:r>
              <w:rPr>
                <w:sz w:val="20"/>
                <w:szCs w:val="20"/>
              </w:rPr>
              <w:t>Le DHA est le constituant des membranes des neurones. Sans lui, les récepteurs ne fonctionnent plus correctement. L’EPA réduit la production des molécules qui entretiennent l’inflammation cérébrale.</w:t>
            </w:r>
          </w:p>
        </w:tc>
      </w:tr>
      <w:tr w:rsidR="00EB3894" w14:paraId="37B3788A"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242DBDB7" w14:textId="77777777" w:rsidR="00EB3894" w:rsidRDefault="00187C97">
            <w:pPr>
              <w:spacing w:before="30" w:after="30"/>
            </w:pPr>
            <w:r>
              <w:rPr>
                <w:b/>
                <w:bCs/>
                <w:color w:val="4B3F8F"/>
                <w:sz w:val="20"/>
                <w:szCs w:val="20"/>
              </w:rPr>
              <w:t>Magnésium</w:t>
            </w:r>
          </w:p>
        </w:tc>
        <w:tc>
          <w:tcPr>
            <w:tcW w:w="22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09D3D0FA" w14:textId="77777777" w:rsidR="00EB3894" w:rsidRDefault="00187C97">
            <w:pPr>
              <w:spacing w:before="30" w:after="30"/>
            </w:pPr>
            <w:proofErr w:type="spellStart"/>
            <w:r>
              <w:rPr>
                <w:i/>
                <w:iCs/>
                <w:color w:val="1B7A6E"/>
                <w:sz w:val="20"/>
                <w:szCs w:val="20"/>
              </w:rPr>
              <w:t>Anti-excitotoxicité</w:t>
            </w:r>
            <w:proofErr w:type="spellEnd"/>
            <w:r>
              <w:rPr>
                <w:i/>
                <w:iCs/>
                <w:color w:val="1B7A6E"/>
                <w:sz w:val="20"/>
                <w:szCs w:val="20"/>
              </w:rPr>
              <w:t xml:space="preserve"> (NMDA)</w:t>
            </w:r>
          </w:p>
        </w:tc>
        <w:tc>
          <w:tcPr>
            <w:tcW w:w="4626" w:type="dxa"/>
            <w:tcBorders>
              <w:top w:val="single" w:sz="4" w:space="0" w:color="C4B8F0"/>
              <w:left w:val="single" w:sz="4" w:space="0" w:color="C4B8F0"/>
              <w:bottom w:val="single" w:sz="4" w:space="0" w:color="C4B8F0"/>
              <w:right w:val="single" w:sz="4" w:space="0" w:color="C4B8F0"/>
            </w:tcBorders>
            <w:shd w:val="clear" w:color="auto" w:fill="F5F5F7"/>
            <w:tcMar>
              <w:top w:w="90" w:type="dxa"/>
              <w:left w:w="150" w:type="dxa"/>
              <w:bottom w:w="90" w:type="dxa"/>
              <w:right w:w="100" w:type="dxa"/>
            </w:tcMar>
            <w:vAlign w:val="center"/>
          </w:tcPr>
          <w:p w14:paraId="1E04C2D7" w14:textId="77777777" w:rsidR="00EB3894" w:rsidRDefault="00187C97">
            <w:pPr>
              <w:spacing w:before="30" w:after="30"/>
            </w:pPr>
            <w:r>
              <w:rPr>
                <w:sz w:val="20"/>
                <w:szCs w:val="20"/>
              </w:rPr>
              <w:t>Le magnésium bloque physiquement le canal par lequel le calcium entre en excès dans le neurone. Quand il manque, le neurone est sur-stimulé jusqu’à mourir.</w:t>
            </w:r>
          </w:p>
        </w:tc>
      </w:tr>
      <w:tr w:rsidR="00EB3894" w14:paraId="49BE08B3"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7B241614" w14:textId="77777777" w:rsidR="00EB3894" w:rsidRDefault="00187C97">
            <w:pPr>
              <w:spacing w:before="30" w:after="30"/>
            </w:pPr>
            <w:r>
              <w:rPr>
                <w:b/>
                <w:bCs/>
                <w:color w:val="4B3F8F"/>
                <w:sz w:val="20"/>
                <w:szCs w:val="20"/>
              </w:rPr>
              <w:t>Zinc + Sélénium</w:t>
            </w:r>
          </w:p>
        </w:tc>
        <w:tc>
          <w:tcPr>
            <w:tcW w:w="2200" w:type="dxa"/>
            <w:tcBorders>
              <w:top w:val="single" w:sz="4" w:space="0" w:color="C4B8F0"/>
              <w:left w:val="single" w:sz="4" w:space="0" w:color="C4B8F0"/>
              <w:bottom w:val="single" w:sz="4" w:space="0" w:color="C4B8F0"/>
              <w:right w:val="single" w:sz="4" w:space="0" w:color="C4B8F0"/>
            </w:tcBorders>
            <w:shd w:val="clear" w:color="auto" w:fill="E2F4F2"/>
            <w:tcMar>
              <w:top w:w="90" w:type="dxa"/>
              <w:left w:w="150" w:type="dxa"/>
              <w:bottom w:w="90" w:type="dxa"/>
              <w:right w:w="100" w:type="dxa"/>
            </w:tcMar>
            <w:vAlign w:val="center"/>
          </w:tcPr>
          <w:p w14:paraId="326FF633" w14:textId="77777777" w:rsidR="00EB3894" w:rsidRDefault="00187C97">
            <w:pPr>
              <w:spacing w:before="30" w:after="30"/>
            </w:pPr>
            <w:r>
              <w:rPr>
                <w:i/>
                <w:iCs/>
                <w:color w:val="1B7A6E"/>
                <w:sz w:val="20"/>
                <w:szCs w:val="20"/>
              </w:rPr>
              <w:t xml:space="preserve">Cofacteurs SOD et </w:t>
            </w:r>
            <w:proofErr w:type="spellStart"/>
            <w:r>
              <w:rPr>
                <w:i/>
                <w:iCs/>
                <w:color w:val="1B7A6E"/>
                <w:sz w:val="20"/>
                <w:szCs w:val="20"/>
              </w:rPr>
              <w:t>GPx</w:t>
            </w:r>
            <w:proofErr w:type="spellEnd"/>
          </w:p>
        </w:tc>
        <w:tc>
          <w:tcPr>
            <w:tcW w:w="46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0C44E2D0" w14:textId="77777777" w:rsidR="00EB3894" w:rsidRDefault="00187C97">
            <w:pPr>
              <w:spacing w:before="30" w:after="30"/>
            </w:pPr>
            <w:r>
              <w:rPr>
                <w:sz w:val="20"/>
                <w:szCs w:val="20"/>
              </w:rPr>
              <w:t xml:space="preserve">Ces minéraux sont indispensables au fonctionnement des enzymes </w:t>
            </w:r>
            <w:proofErr w:type="spellStart"/>
            <w:r>
              <w:rPr>
                <w:sz w:val="20"/>
                <w:szCs w:val="20"/>
              </w:rPr>
              <w:t>antioxydantes</w:t>
            </w:r>
            <w:proofErr w:type="spellEnd"/>
            <w:r>
              <w:rPr>
                <w:sz w:val="20"/>
                <w:szCs w:val="20"/>
              </w:rPr>
              <w:t xml:space="preserve"> fabriquées par notre corps. Sans eux, les meilleurs pompiers du cerveau ne peuvent pas travailler.</w:t>
            </w:r>
          </w:p>
        </w:tc>
      </w:tr>
      <w:tr w:rsidR="00EB3894" w14:paraId="432F79FB"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1A608B47" w14:textId="77777777" w:rsidR="00EB3894" w:rsidRDefault="00187C97">
            <w:pPr>
              <w:spacing w:before="30" w:after="30"/>
            </w:pPr>
            <w:r>
              <w:rPr>
                <w:b/>
                <w:bCs/>
                <w:color w:val="4B3F8F"/>
                <w:sz w:val="20"/>
                <w:szCs w:val="20"/>
              </w:rPr>
              <w:t xml:space="preserve">NAC + </w:t>
            </w:r>
            <w:proofErr w:type="spellStart"/>
            <w:r>
              <w:rPr>
                <w:b/>
                <w:bCs/>
                <w:color w:val="4B3F8F"/>
                <w:sz w:val="20"/>
                <w:szCs w:val="20"/>
              </w:rPr>
              <w:t>Glutathion</w:t>
            </w:r>
            <w:proofErr w:type="spellEnd"/>
          </w:p>
        </w:tc>
        <w:tc>
          <w:tcPr>
            <w:tcW w:w="22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04CBEAE1" w14:textId="77777777" w:rsidR="00EB3894" w:rsidRDefault="00187C97">
            <w:pPr>
              <w:spacing w:before="30" w:after="30"/>
            </w:pPr>
            <w:r>
              <w:rPr>
                <w:i/>
                <w:iCs/>
                <w:color w:val="1B7A6E"/>
                <w:sz w:val="20"/>
                <w:szCs w:val="20"/>
              </w:rPr>
              <w:t xml:space="preserve">Synthèse du </w:t>
            </w:r>
            <w:proofErr w:type="spellStart"/>
            <w:r>
              <w:rPr>
                <w:i/>
                <w:iCs/>
                <w:color w:val="1B7A6E"/>
                <w:sz w:val="20"/>
                <w:szCs w:val="20"/>
              </w:rPr>
              <w:t>glutathion</w:t>
            </w:r>
            <w:proofErr w:type="spellEnd"/>
          </w:p>
        </w:tc>
        <w:tc>
          <w:tcPr>
            <w:tcW w:w="4626" w:type="dxa"/>
            <w:tcBorders>
              <w:top w:val="single" w:sz="4" w:space="0" w:color="C4B8F0"/>
              <w:left w:val="single" w:sz="4" w:space="0" w:color="C4B8F0"/>
              <w:bottom w:val="single" w:sz="4" w:space="0" w:color="C4B8F0"/>
              <w:right w:val="single" w:sz="4" w:space="0" w:color="C4B8F0"/>
            </w:tcBorders>
            <w:shd w:val="clear" w:color="auto" w:fill="F5F5F7"/>
            <w:tcMar>
              <w:top w:w="90" w:type="dxa"/>
              <w:left w:w="150" w:type="dxa"/>
              <w:bottom w:w="90" w:type="dxa"/>
              <w:right w:w="100" w:type="dxa"/>
            </w:tcMar>
            <w:vAlign w:val="center"/>
          </w:tcPr>
          <w:p w14:paraId="1DFE632D" w14:textId="77777777" w:rsidR="00EB3894" w:rsidRDefault="00187C97">
            <w:pPr>
              <w:spacing w:before="30" w:after="30"/>
            </w:pPr>
            <w:r>
              <w:rPr>
                <w:sz w:val="20"/>
                <w:szCs w:val="20"/>
              </w:rPr>
              <w:t xml:space="preserve">Le </w:t>
            </w:r>
            <w:proofErr w:type="spellStart"/>
            <w:r>
              <w:rPr>
                <w:sz w:val="20"/>
                <w:szCs w:val="20"/>
              </w:rPr>
              <w:t>glutathion</w:t>
            </w:r>
            <w:proofErr w:type="spellEnd"/>
            <w:r>
              <w:rPr>
                <w:sz w:val="20"/>
                <w:szCs w:val="20"/>
              </w:rPr>
              <w:t xml:space="preserve"> est le principal antioxydant intracellulaire. La NAC fournit la </w:t>
            </w:r>
            <w:proofErr w:type="spellStart"/>
            <w:r>
              <w:rPr>
                <w:sz w:val="20"/>
                <w:szCs w:val="20"/>
              </w:rPr>
              <w:t>cystéine</w:t>
            </w:r>
            <w:proofErr w:type="spellEnd"/>
            <w:r>
              <w:rPr>
                <w:sz w:val="20"/>
                <w:szCs w:val="20"/>
              </w:rPr>
              <w:t xml:space="preserve"> qui manque pour le fabriquer, comme approvisionner une usine en matière première.</w:t>
            </w:r>
          </w:p>
        </w:tc>
      </w:tr>
      <w:tr w:rsidR="00EB3894" w14:paraId="46F66F76"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0F677AB6" w14:textId="77777777" w:rsidR="00EB3894" w:rsidRDefault="00187C97">
            <w:pPr>
              <w:spacing w:before="30" w:after="30"/>
            </w:pPr>
            <w:r>
              <w:rPr>
                <w:b/>
                <w:bCs/>
                <w:color w:val="4B3F8F"/>
                <w:sz w:val="20"/>
                <w:szCs w:val="20"/>
              </w:rPr>
              <w:t>CoQ10</w:t>
            </w:r>
          </w:p>
        </w:tc>
        <w:tc>
          <w:tcPr>
            <w:tcW w:w="2200" w:type="dxa"/>
            <w:tcBorders>
              <w:top w:val="single" w:sz="4" w:space="0" w:color="C4B8F0"/>
              <w:left w:val="single" w:sz="4" w:space="0" w:color="C4B8F0"/>
              <w:bottom w:val="single" w:sz="4" w:space="0" w:color="C4B8F0"/>
              <w:right w:val="single" w:sz="4" w:space="0" w:color="C4B8F0"/>
            </w:tcBorders>
            <w:shd w:val="clear" w:color="auto" w:fill="E2F4F2"/>
            <w:tcMar>
              <w:top w:w="90" w:type="dxa"/>
              <w:left w:w="150" w:type="dxa"/>
              <w:bottom w:w="90" w:type="dxa"/>
              <w:right w:w="100" w:type="dxa"/>
            </w:tcMar>
            <w:vAlign w:val="center"/>
          </w:tcPr>
          <w:p w14:paraId="0FDB5A82" w14:textId="77777777" w:rsidR="00EB3894" w:rsidRDefault="00187C97">
            <w:pPr>
              <w:spacing w:before="30" w:after="30"/>
            </w:pPr>
            <w:proofErr w:type="spellStart"/>
            <w:r>
              <w:rPr>
                <w:i/>
                <w:iCs/>
                <w:color w:val="1B7A6E"/>
                <w:sz w:val="20"/>
                <w:szCs w:val="20"/>
              </w:rPr>
              <w:t>Mitochondrie</w:t>
            </w:r>
            <w:proofErr w:type="spellEnd"/>
            <w:r>
              <w:rPr>
                <w:i/>
                <w:iCs/>
                <w:color w:val="1B7A6E"/>
                <w:sz w:val="20"/>
                <w:szCs w:val="20"/>
              </w:rPr>
              <w:t xml:space="preserve"> + antioxydant</w:t>
            </w:r>
          </w:p>
        </w:tc>
        <w:tc>
          <w:tcPr>
            <w:tcW w:w="46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6D2BDE27" w14:textId="77777777" w:rsidR="00EB3894" w:rsidRDefault="00187C97">
            <w:pPr>
              <w:spacing w:before="30" w:after="30"/>
            </w:pPr>
            <w:r>
              <w:rPr>
                <w:sz w:val="20"/>
                <w:szCs w:val="20"/>
              </w:rPr>
              <w:t xml:space="preserve">La </w:t>
            </w:r>
            <w:proofErr w:type="spellStart"/>
            <w:r>
              <w:rPr>
                <w:sz w:val="20"/>
                <w:szCs w:val="20"/>
              </w:rPr>
              <w:t>mitochondrie</w:t>
            </w:r>
            <w:proofErr w:type="spellEnd"/>
            <w:r>
              <w:rPr>
                <w:sz w:val="20"/>
                <w:szCs w:val="20"/>
              </w:rPr>
              <w:t xml:space="preserve"> a besoin du CoQ10 comme d’une pièce </w:t>
            </w:r>
            <w:proofErr w:type="spellStart"/>
            <w:r>
              <w:rPr>
                <w:sz w:val="20"/>
                <w:szCs w:val="20"/>
              </w:rPr>
              <w:t>maîftresse</w:t>
            </w:r>
            <w:proofErr w:type="spellEnd"/>
            <w:r>
              <w:rPr>
                <w:sz w:val="20"/>
                <w:szCs w:val="20"/>
              </w:rPr>
              <w:t xml:space="preserve"> pour produire l’ATP. Il protège aussi les graisses de la membrane contre l’oxydation.</w:t>
            </w:r>
          </w:p>
        </w:tc>
      </w:tr>
      <w:tr w:rsidR="00EB3894" w14:paraId="78C248E6"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771ECDEB" w14:textId="77777777" w:rsidR="00EB3894" w:rsidRDefault="00187C97">
            <w:pPr>
              <w:spacing w:before="30" w:after="30"/>
            </w:pPr>
            <w:r>
              <w:rPr>
                <w:b/>
                <w:bCs/>
                <w:color w:val="4B3F8F"/>
                <w:sz w:val="20"/>
                <w:szCs w:val="20"/>
              </w:rPr>
              <w:t>Vitamine D3 + K2</w:t>
            </w:r>
          </w:p>
        </w:tc>
        <w:tc>
          <w:tcPr>
            <w:tcW w:w="22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73CE9838" w14:textId="77777777" w:rsidR="00EB3894" w:rsidRDefault="00187C97">
            <w:pPr>
              <w:spacing w:before="30" w:after="30"/>
            </w:pPr>
            <w:r>
              <w:rPr>
                <w:i/>
                <w:iCs/>
                <w:color w:val="1B7A6E"/>
                <w:sz w:val="20"/>
                <w:szCs w:val="20"/>
              </w:rPr>
              <w:t>BDNF + NRF2 + NF-κB</w:t>
            </w:r>
          </w:p>
        </w:tc>
        <w:tc>
          <w:tcPr>
            <w:tcW w:w="4626" w:type="dxa"/>
            <w:tcBorders>
              <w:top w:val="single" w:sz="4" w:space="0" w:color="C4B8F0"/>
              <w:left w:val="single" w:sz="4" w:space="0" w:color="C4B8F0"/>
              <w:bottom w:val="single" w:sz="4" w:space="0" w:color="C4B8F0"/>
              <w:right w:val="single" w:sz="4" w:space="0" w:color="C4B8F0"/>
            </w:tcBorders>
            <w:shd w:val="clear" w:color="auto" w:fill="F5F5F7"/>
            <w:tcMar>
              <w:top w:w="90" w:type="dxa"/>
              <w:left w:w="150" w:type="dxa"/>
              <w:bottom w:w="90" w:type="dxa"/>
              <w:right w:w="100" w:type="dxa"/>
            </w:tcMar>
            <w:vAlign w:val="center"/>
          </w:tcPr>
          <w:p w14:paraId="57B2931B" w14:textId="77777777" w:rsidR="00EB3894" w:rsidRDefault="00187C97">
            <w:pPr>
              <w:spacing w:before="30" w:after="30"/>
            </w:pPr>
            <w:r>
              <w:rPr>
                <w:sz w:val="20"/>
                <w:szCs w:val="20"/>
              </w:rPr>
              <w:t xml:space="preserve">La vitamine D active les gènes qui fabriquent les facteurs de protection </w:t>
            </w:r>
            <w:proofErr w:type="spellStart"/>
            <w:r>
              <w:rPr>
                <w:sz w:val="20"/>
                <w:szCs w:val="20"/>
              </w:rPr>
              <w:t>neuronale</w:t>
            </w:r>
            <w:proofErr w:type="spellEnd"/>
            <w:r>
              <w:rPr>
                <w:sz w:val="20"/>
                <w:szCs w:val="20"/>
              </w:rPr>
              <w:t xml:space="preserve"> (BDNF) et inhibe l’interrupteur de l’inflammation (NF-κB). La K2 dirige le calcium vers les bons endroits.</w:t>
            </w:r>
          </w:p>
        </w:tc>
      </w:tr>
      <w:tr w:rsidR="00EB3894" w14:paraId="10219BC6"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50739471" w14:textId="77777777" w:rsidR="00EB3894" w:rsidRDefault="00187C97">
            <w:pPr>
              <w:spacing w:before="30" w:after="30"/>
            </w:pPr>
            <w:proofErr w:type="spellStart"/>
            <w:r>
              <w:rPr>
                <w:b/>
                <w:bCs/>
                <w:color w:val="4B3F8F"/>
                <w:sz w:val="20"/>
                <w:szCs w:val="20"/>
              </w:rPr>
              <w:t>L-Tyrosine</w:t>
            </w:r>
            <w:proofErr w:type="spellEnd"/>
            <w:r>
              <w:rPr>
                <w:b/>
                <w:bCs/>
                <w:color w:val="4B3F8F"/>
                <w:sz w:val="20"/>
                <w:szCs w:val="20"/>
              </w:rPr>
              <w:t xml:space="preserve"> + Vit C</w:t>
            </w:r>
          </w:p>
        </w:tc>
        <w:tc>
          <w:tcPr>
            <w:tcW w:w="2200" w:type="dxa"/>
            <w:tcBorders>
              <w:top w:val="single" w:sz="4" w:space="0" w:color="C4B8F0"/>
              <w:left w:val="single" w:sz="4" w:space="0" w:color="C4B8F0"/>
              <w:bottom w:val="single" w:sz="4" w:space="0" w:color="C4B8F0"/>
              <w:right w:val="single" w:sz="4" w:space="0" w:color="C4B8F0"/>
            </w:tcBorders>
            <w:shd w:val="clear" w:color="auto" w:fill="E2F4F2"/>
            <w:tcMar>
              <w:top w:w="90" w:type="dxa"/>
              <w:left w:w="150" w:type="dxa"/>
              <w:bottom w:w="90" w:type="dxa"/>
              <w:right w:w="100" w:type="dxa"/>
            </w:tcMar>
            <w:vAlign w:val="center"/>
          </w:tcPr>
          <w:p w14:paraId="7D129AAC" w14:textId="77777777" w:rsidR="00EB3894" w:rsidRDefault="00187C97">
            <w:pPr>
              <w:spacing w:before="30" w:after="30"/>
            </w:pPr>
            <w:r>
              <w:rPr>
                <w:i/>
                <w:iCs/>
                <w:color w:val="1B7A6E"/>
                <w:sz w:val="20"/>
                <w:szCs w:val="20"/>
              </w:rPr>
              <w:t>Synthèse dopamine</w:t>
            </w:r>
          </w:p>
        </w:tc>
        <w:tc>
          <w:tcPr>
            <w:tcW w:w="46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4DC4C0B4" w14:textId="77777777" w:rsidR="00EB3894" w:rsidRDefault="00187C97">
            <w:pPr>
              <w:spacing w:before="30" w:after="30"/>
            </w:pPr>
            <w:r>
              <w:rPr>
                <w:sz w:val="20"/>
                <w:szCs w:val="20"/>
              </w:rPr>
              <w:t xml:space="preserve">La </w:t>
            </w:r>
            <w:proofErr w:type="spellStart"/>
            <w:r>
              <w:rPr>
                <w:sz w:val="20"/>
                <w:szCs w:val="20"/>
              </w:rPr>
              <w:t>L-Tyrosine</w:t>
            </w:r>
            <w:proofErr w:type="spellEnd"/>
            <w:r>
              <w:rPr>
                <w:sz w:val="20"/>
                <w:szCs w:val="20"/>
              </w:rPr>
              <w:t xml:space="preserve"> est la brique de base de la dopamine. La vitamine C accélère les deux enzymes qui la transforment étape par étape en dopamine.</w:t>
            </w:r>
          </w:p>
        </w:tc>
      </w:tr>
      <w:tr w:rsidR="00EB3894" w14:paraId="4E7D06CD"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7461C15C" w14:textId="77777777" w:rsidR="00EB3894" w:rsidRDefault="00187C97">
            <w:pPr>
              <w:spacing w:before="30" w:after="30"/>
            </w:pPr>
            <w:proofErr w:type="spellStart"/>
            <w:r>
              <w:rPr>
                <w:b/>
                <w:bCs/>
                <w:color w:val="4B3F8F"/>
                <w:sz w:val="20"/>
                <w:szCs w:val="20"/>
              </w:rPr>
              <w:t>Phosphatidylcholine</w:t>
            </w:r>
            <w:proofErr w:type="spellEnd"/>
            <w:r>
              <w:rPr>
                <w:b/>
                <w:bCs/>
                <w:color w:val="4B3F8F"/>
                <w:sz w:val="20"/>
                <w:szCs w:val="20"/>
              </w:rPr>
              <w:t xml:space="preserve"> + </w:t>
            </w:r>
            <w:proofErr w:type="spellStart"/>
            <w:r>
              <w:rPr>
                <w:b/>
                <w:bCs/>
                <w:color w:val="4B3F8F"/>
                <w:sz w:val="20"/>
                <w:szCs w:val="20"/>
              </w:rPr>
              <w:t>Huperzine</w:t>
            </w:r>
            <w:proofErr w:type="spellEnd"/>
            <w:r>
              <w:rPr>
                <w:b/>
                <w:bCs/>
                <w:color w:val="4B3F8F"/>
                <w:sz w:val="20"/>
                <w:szCs w:val="20"/>
              </w:rPr>
              <w:t xml:space="preserve"> A</w:t>
            </w:r>
          </w:p>
        </w:tc>
        <w:tc>
          <w:tcPr>
            <w:tcW w:w="22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6543DCBB" w14:textId="77777777" w:rsidR="00EB3894" w:rsidRDefault="00187C97">
            <w:pPr>
              <w:spacing w:before="30" w:after="30"/>
            </w:pPr>
            <w:r>
              <w:rPr>
                <w:i/>
                <w:iCs/>
                <w:color w:val="1B7A6E"/>
                <w:sz w:val="20"/>
                <w:szCs w:val="20"/>
              </w:rPr>
              <w:t xml:space="preserve">Synthèse et préservation </w:t>
            </w:r>
            <w:proofErr w:type="spellStart"/>
            <w:r>
              <w:rPr>
                <w:i/>
                <w:iCs/>
                <w:color w:val="1B7A6E"/>
                <w:sz w:val="20"/>
                <w:szCs w:val="20"/>
              </w:rPr>
              <w:t>Ach</w:t>
            </w:r>
            <w:proofErr w:type="spellEnd"/>
          </w:p>
        </w:tc>
        <w:tc>
          <w:tcPr>
            <w:tcW w:w="4626" w:type="dxa"/>
            <w:tcBorders>
              <w:top w:val="single" w:sz="4" w:space="0" w:color="C4B8F0"/>
              <w:left w:val="single" w:sz="4" w:space="0" w:color="C4B8F0"/>
              <w:bottom w:val="single" w:sz="4" w:space="0" w:color="C4B8F0"/>
              <w:right w:val="single" w:sz="4" w:space="0" w:color="C4B8F0"/>
            </w:tcBorders>
            <w:shd w:val="clear" w:color="auto" w:fill="F5F5F7"/>
            <w:tcMar>
              <w:top w:w="90" w:type="dxa"/>
              <w:left w:w="150" w:type="dxa"/>
              <w:bottom w:w="90" w:type="dxa"/>
              <w:right w:w="100" w:type="dxa"/>
            </w:tcMar>
            <w:vAlign w:val="center"/>
          </w:tcPr>
          <w:p w14:paraId="7777EAF1" w14:textId="77777777" w:rsidR="00EB3894" w:rsidRDefault="00187C97">
            <w:pPr>
              <w:spacing w:before="30" w:after="30"/>
            </w:pPr>
            <w:r>
              <w:rPr>
                <w:sz w:val="20"/>
                <w:szCs w:val="20"/>
              </w:rPr>
              <w:t xml:space="preserve">La </w:t>
            </w:r>
            <w:proofErr w:type="spellStart"/>
            <w:r>
              <w:rPr>
                <w:sz w:val="20"/>
                <w:szCs w:val="20"/>
              </w:rPr>
              <w:t>phosphatidylcholine</w:t>
            </w:r>
            <w:proofErr w:type="spellEnd"/>
            <w:r>
              <w:rPr>
                <w:sz w:val="20"/>
                <w:szCs w:val="20"/>
              </w:rPr>
              <w:t xml:space="preserve"> apporte la matière première pour fabriquer </w:t>
            </w:r>
            <w:proofErr w:type="spellStart"/>
            <w:r>
              <w:rPr>
                <w:sz w:val="20"/>
                <w:szCs w:val="20"/>
              </w:rPr>
              <w:t>l’acétylcholine</w:t>
            </w:r>
            <w:proofErr w:type="spellEnd"/>
            <w:r>
              <w:rPr>
                <w:sz w:val="20"/>
                <w:szCs w:val="20"/>
              </w:rPr>
              <w:t xml:space="preserve">. </w:t>
            </w:r>
            <w:proofErr w:type="spellStart"/>
            <w:r>
              <w:rPr>
                <w:sz w:val="20"/>
                <w:szCs w:val="20"/>
              </w:rPr>
              <w:t>L’huperzine</w:t>
            </w:r>
            <w:proofErr w:type="spellEnd"/>
            <w:r>
              <w:rPr>
                <w:sz w:val="20"/>
                <w:szCs w:val="20"/>
              </w:rPr>
              <w:t xml:space="preserve"> A empêche son éboueur naturel de la détruire trop vite.</w:t>
            </w:r>
          </w:p>
        </w:tc>
      </w:tr>
      <w:tr w:rsidR="00EB3894" w14:paraId="5DA9BC63"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2D7ACBDA" w14:textId="77777777" w:rsidR="00EB3894" w:rsidRDefault="00187C97">
            <w:pPr>
              <w:spacing w:before="30" w:after="30"/>
            </w:pPr>
            <w:proofErr w:type="spellStart"/>
            <w:r>
              <w:rPr>
                <w:b/>
                <w:bCs/>
                <w:color w:val="4B3F8F"/>
                <w:sz w:val="20"/>
                <w:szCs w:val="20"/>
              </w:rPr>
              <w:t>Resvératrol</w:t>
            </w:r>
            <w:proofErr w:type="spellEnd"/>
          </w:p>
        </w:tc>
        <w:tc>
          <w:tcPr>
            <w:tcW w:w="2200" w:type="dxa"/>
            <w:tcBorders>
              <w:top w:val="single" w:sz="4" w:space="0" w:color="C4B8F0"/>
              <w:left w:val="single" w:sz="4" w:space="0" w:color="C4B8F0"/>
              <w:bottom w:val="single" w:sz="4" w:space="0" w:color="C4B8F0"/>
              <w:right w:val="single" w:sz="4" w:space="0" w:color="C4B8F0"/>
            </w:tcBorders>
            <w:shd w:val="clear" w:color="auto" w:fill="E2F4F2"/>
            <w:tcMar>
              <w:top w:w="90" w:type="dxa"/>
              <w:left w:w="150" w:type="dxa"/>
              <w:bottom w:w="90" w:type="dxa"/>
              <w:right w:w="100" w:type="dxa"/>
            </w:tcMar>
            <w:vAlign w:val="center"/>
          </w:tcPr>
          <w:p w14:paraId="5AEB3AD1" w14:textId="77777777" w:rsidR="00EB3894" w:rsidRDefault="00187C97">
            <w:pPr>
              <w:spacing w:before="30" w:after="30"/>
            </w:pPr>
            <w:r>
              <w:rPr>
                <w:i/>
                <w:iCs/>
                <w:color w:val="1B7A6E"/>
                <w:sz w:val="20"/>
                <w:szCs w:val="20"/>
              </w:rPr>
              <w:t>SIRT1 + NF-κB + BHE</w:t>
            </w:r>
          </w:p>
        </w:tc>
        <w:tc>
          <w:tcPr>
            <w:tcW w:w="46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0D3C4EDA" w14:textId="77777777" w:rsidR="00EB3894" w:rsidRDefault="00187C97">
            <w:pPr>
              <w:spacing w:before="30" w:after="30"/>
            </w:pPr>
            <w:r>
              <w:rPr>
                <w:sz w:val="20"/>
                <w:szCs w:val="20"/>
              </w:rPr>
              <w:t xml:space="preserve">Active les gènes de </w:t>
            </w:r>
            <w:proofErr w:type="spellStart"/>
            <w:r>
              <w:rPr>
                <w:sz w:val="20"/>
                <w:szCs w:val="20"/>
              </w:rPr>
              <w:t>longev</w:t>
            </w:r>
            <w:proofErr w:type="spellEnd"/>
            <w:r>
              <w:rPr>
                <w:sz w:val="20"/>
                <w:szCs w:val="20"/>
              </w:rPr>
              <w:t xml:space="preserve"> </w:t>
            </w:r>
            <w:proofErr w:type="spellStart"/>
            <w:r>
              <w:rPr>
                <w:sz w:val="20"/>
                <w:szCs w:val="20"/>
              </w:rPr>
              <w:t>ité</w:t>
            </w:r>
            <w:proofErr w:type="spellEnd"/>
            <w:r>
              <w:rPr>
                <w:sz w:val="20"/>
                <w:szCs w:val="20"/>
              </w:rPr>
              <w:t xml:space="preserve"> (</w:t>
            </w:r>
            <w:proofErr w:type="spellStart"/>
            <w:r>
              <w:rPr>
                <w:sz w:val="20"/>
                <w:szCs w:val="20"/>
              </w:rPr>
              <w:t>sirtuines</w:t>
            </w:r>
            <w:proofErr w:type="spellEnd"/>
            <w:r>
              <w:rPr>
                <w:sz w:val="20"/>
                <w:szCs w:val="20"/>
              </w:rPr>
              <w:t>), éteint l’interrupteur pro-inflammatoire (NF-κB) et renforce les murs du cerveau (BHE) pour empêcher les agents inflammatoires d’entrer.</w:t>
            </w:r>
          </w:p>
        </w:tc>
      </w:tr>
      <w:tr w:rsidR="00EB3894" w14:paraId="15C8AA21"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53AD0ED6" w14:textId="77777777" w:rsidR="00EB3894" w:rsidRDefault="00187C97">
            <w:pPr>
              <w:spacing w:before="30" w:after="30"/>
            </w:pPr>
            <w:r>
              <w:rPr>
                <w:b/>
                <w:bCs/>
                <w:color w:val="4B3F8F"/>
                <w:sz w:val="20"/>
                <w:szCs w:val="20"/>
              </w:rPr>
              <w:lastRenderedPageBreak/>
              <w:t>Romarin + Sauge + Lavande</w:t>
            </w:r>
          </w:p>
        </w:tc>
        <w:tc>
          <w:tcPr>
            <w:tcW w:w="22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311EFEA9" w14:textId="77777777" w:rsidR="00EB3894" w:rsidRDefault="00187C97">
            <w:pPr>
              <w:spacing w:before="30" w:after="30"/>
            </w:pPr>
            <w:r>
              <w:rPr>
                <w:i/>
                <w:iCs/>
                <w:color w:val="1B7A6E"/>
                <w:sz w:val="20"/>
                <w:szCs w:val="20"/>
              </w:rPr>
              <w:t>NRF2 + AChE + amyloïde + BDNF</w:t>
            </w:r>
          </w:p>
        </w:tc>
        <w:tc>
          <w:tcPr>
            <w:tcW w:w="4626" w:type="dxa"/>
            <w:tcBorders>
              <w:top w:val="single" w:sz="4" w:space="0" w:color="C4B8F0"/>
              <w:left w:val="single" w:sz="4" w:space="0" w:color="C4B8F0"/>
              <w:bottom w:val="single" w:sz="4" w:space="0" w:color="C4B8F0"/>
              <w:right w:val="single" w:sz="4" w:space="0" w:color="C4B8F0"/>
            </w:tcBorders>
            <w:shd w:val="clear" w:color="auto" w:fill="F5F5F7"/>
            <w:tcMar>
              <w:top w:w="90" w:type="dxa"/>
              <w:left w:w="150" w:type="dxa"/>
              <w:bottom w:w="90" w:type="dxa"/>
              <w:right w:w="100" w:type="dxa"/>
            </w:tcMar>
            <w:vAlign w:val="center"/>
          </w:tcPr>
          <w:p w14:paraId="0D1C67D9" w14:textId="77777777" w:rsidR="00EB3894" w:rsidRDefault="00187C97">
            <w:pPr>
              <w:spacing w:before="30" w:after="30"/>
            </w:pPr>
            <w:r>
              <w:rPr>
                <w:sz w:val="20"/>
                <w:szCs w:val="20"/>
              </w:rPr>
              <w:t xml:space="preserve">Six mécanismes protecteurs simultanés : préservent </w:t>
            </w:r>
            <w:proofErr w:type="spellStart"/>
            <w:r>
              <w:rPr>
                <w:sz w:val="20"/>
                <w:szCs w:val="20"/>
              </w:rPr>
              <w:t>l’acétylcholine</w:t>
            </w:r>
            <w:proofErr w:type="spellEnd"/>
            <w:r>
              <w:rPr>
                <w:sz w:val="20"/>
                <w:szCs w:val="20"/>
              </w:rPr>
              <w:t xml:space="preserve">, bloquent la formation de plaques, activent les défenses </w:t>
            </w:r>
            <w:proofErr w:type="spellStart"/>
            <w:r>
              <w:rPr>
                <w:sz w:val="20"/>
                <w:szCs w:val="20"/>
              </w:rPr>
              <w:t>antioxydantes</w:t>
            </w:r>
            <w:proofErr w:type="spellEnd"/>
            <w:r>
              <w:rPr>
                <w:sz w:val="20"/>
                <w:szCs w:val="20"/>
              </w:rPr>
              <w:t xml:space="preserve">, et stimulent le facteur de croissance </w:t>
            </w:r>
            <w:proofErr w:type="spellStart"/>
            <w:r>
              <w:rPr>
                <w:sz w:val="20"/>
                <w:szCs w:val="20"/>
              </w:rPr>
              <w:t>neuronale</w:t>
            </w:r>
            <w:proofErr w:type="spellEnd"/>
            <w:r>
              <w:rPr>
                <w:sz w:val="20"/>
                <w:szCs w:val="20"/>
              </w:rPr>
              <w:t>.</w:t>
            </w:r>
          </w:p>
        </w:tc>
      </w:tr>
      <w:tr w:rsidR="00EB3894" w14:paraId="7762F9C5"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4E33739A" w14:textId="77777777" w:rsidR="00EB3894" w:rsidRDefault="00187C97">
            <w:pPr>
              <w:spacing w:before="30" w:after="30"/>
            </w:pPr>
            <w:proofErr w:type="spellStart"/>
            <w:r>
              <w:rPr>
                <w:b/>
                <w:bCs/>
                <w:color w:val="4B3F8F"/>
                <w:sz w:val="20"/>
                <w:szCs w:val="20"/>
              </w:rPr>
              <w:t>Probiotiques</w:t>
            </w:r>
            <w:proofErr w:type="spellEnd"/>
            <w:r>
              <w:rPr>
                <w:b/>
                <w:bCs/>
                <w:color w:val="4B3F8F"/>
                <w:sz w:val="20"/>
                <w:szCs w:val="20"/>
              </w:rPr>
              <w:t xml:space="preserve"> + </w:t>
            </w:r>
            <w:r>
              <w:rPr>
                <w:b/>
                <w:bCs/>
                <w:color w:val="4B3F8F"/>
                <w:sz w:val="20"/>
                <w:szCs w:val="20"/>
              </w:rPr>
              <w:t>L-Glutamine + Butyrate</w:t>
            </w:r>
          </w:p>
        </w:tc>
        <w:tc>
          <w:tcPr>
            <w:tcW w:w="2200" w:type="dxa"/>
            <w:tcBorders>
              <w:top w:val="single" w:sz="4" w:space="0" w:color="C4B8F0"/>
              <w:left w:val="single" w:sz="4" w:space="0" w:color="C4B8F0"/>
              <w:bottom w:val="single" w:sz="4" w:space="0" w:color="C4B8F0"/>
              <w:right w:val="single" w:sz="4" w:space="0" w:color="C4B8F0"/>
            </w:tcBorders>
            <w:shd w:val="clear" w:color="auto" w:fill="E2F4F2"/>
            <w:tcMar>
              <w:top w:w="90" w:type="dxa"/>
              <w:left w:w="150" w:type="dxa"/>
              <w:bottom w:w="90" w:type="dxa"/>
              <w:right w:w="100" w:type="dxa"/>
            </w:tcMar>
            <w:vAlign w:val="center"/>
          </w:tcPr>
          <w:p w14:paraId="26E6BCF4" w14:textId="77777777" w:rsidR="00EB3894" w:rsidRDefault="00187C97">
            <w:pPr>
              <w:spacing w:before="30" w:after="30"/>
            </w:pPr>
            <w:r>
              <w:rPr>
                <w:i/>
                <w:iCs/>
                <w:color w:val="1B7A6E"/>
                <w:sz w:val="20"/>
                <w:szCs w:val="20"/>
              </w:rPr>
              <w:t xml:space="preserve">Axe </w:t>
            </w:r>
            <w:proofErr w:type="spellStart"/>
            <w:r>
              <w:rPr>
                <w:i/>
                <w:iCs/>
                <w:color w:val="1B7A6E"/>
                <w:sz w:val="20"/>
                <w:szCs w:val="20"/>
              </w:rPr>
              <w:t>microbiote-cerveau</w:t>
            </w:r>
            <w:proofErr w:type="spellEnd"/>
          </w:p>
        </w:tc>
        <w:tc>
          <w:tcPr>
            <w:tcW w:w="46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7CEBA697" w14:textId="77777777" w:rsidR="00EB3894" w:rsidRDefault="00187C97">
            <w:pPr>
              <w:spacing w:before="30" w:after="30"/>
            </w:pPr>
            <w:r>
              <w:rPr>
                <w:sz w:val="20"/>
                <w:szCs w:val="20"/>
              </w:rPr>
              <w:t xml:space="preserve">Un </w:t>
            </w:r>
            <w:proofErr w:type="spellStart"/>
            <w:r>
              <w:rPr>
                <w:sz w:val="20"/>
                <w:szCs w:val="20"/>
              </w:rPr>
              <w:t>microbiote</w:t>
            </w:r>
            <w:proofErr w:type="spellEnd"/>
            <w:r>
              <w:rPr>
                <w:sz w:val="20"/>
                <w:szCs w:val="20"/>
              </w:rPr>
              <w:t xml:space="preserve"> équilibré produit des molécules anti-inflammatoires (butyrate) qui traversent la barrière cérébrale et calment l’inflammation. Une barrière intestinale saine empêche les toxines bactériennes (LPS) de déclencher l’inflammation cérébrale.</w:t>
            </w:r>
          </w:p>
        </w:tc>
      </w:tr>
      <w:tr w:rsidR="00EB3894" w14:paraId="59C73A9A"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2B14F1A1" w14:textId="77777777" w:rsidR="00EB3894" w:rsidRDefault="00187C97">
            <w:pPr>
              <w:spacing w:before="30" w:after="30"/>
            </w:pPr>
            <w:r>
              <w:rPr>
                <w:b/>
                <w:bCs/>
                <w:color w:val="4B3F8F"/>
                <w:sz w:val="20"/>
                <w:szCs w:val="20"/>
              </w:rPr>
              <w:t>Exercice physique</w:t>
            </w:r>
          </w:p>
        </w:tc>
        <w:tc>
          <w:tcPr>
            <w:tcW w:w="2200"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5D867917" w14:textId="77777777" w:rsidR="00EB3894" w:rsidRDefault="00187C97">
            <w:pPr>
              <w:spacing w:before="30" w:after="30"/>
            </w:pPr>
            <w:r>
              <w:rPr>
                <w:i/>
                <w:iCs/>
                <w:color w:val="1B7A6E"/>
                <w:sz w:val="20"/>
                <w:szCs w:val="20"/>
              </w:rPr>
              <w:t>BDNF + hippocampe + inflammation</w:t>
            </w:r>
          </w:p>
        </w:tc>
        <w:tc>
          <w:tcPr>
            <w:tcW w:w="4626" w:type="dxa"/>
            <w:tcBorders>
              <w:top w:val="single" w:sz="4" w:space="0" w:color="C4B8F0"/>
              <w:left w:val="single" w:sz="4" w:space="0" w:color="C4B8F0"/>
              <w:bottom w:val="single" w:sz="4" w:space="0" w:color="C4B8F0"/>
              <w:right w:val="single" w:sz="4" w:space="0" w:color="C4B8F0"/>
            </w:tcBorders>
            <w:shd w:val="clear" w:color="auto" w:fill="F5F5F7"/>
            <w:tcMar>
              <w:top w:w="90" w:type="dxa"/>
              <w:left w:w="150" w:type="dxa"/>
              <w:bottom w:w="90" w:type="dxa"/>
              <w:right w:w="100" w:type="dxa"/>
            </w:tcMar>
            <w:vAlign w:val="center"/>
          </w:tcPr>
          <w:p w14:paraId="0AE04BC3" w14:textId="77777777" w:rsidR="00EB3894" w:rsidRDefault="00187C97">
            <w:pPr>
              <w:spacing w:before="30" w:after="30"/>
            </w:pPr>
            <w:r>
              <w:rPr>
                <w:sz w:val="20"/>
                <w:szCs w:val="20"/>
              </w:rPr>
              <w:t xml:space="preserve">L’exercice est le seul facteur prouvé à augmenter le volume de l’hippocampe. Il stimule le BDNF, réduit les cytokines pro-inflammatoires et améliore la </w:t>
            </w:r>
            <w:proofErr w:type="spellStart"/>
            <w:r>
              <w:rPr>
                <w:sz w:val="20"/>
                <w:szCs w:val="20"/>
              </w:rPr>
              <w:t>mitophagie</w:t>
            </w:r>
            <w:proofErr w:type="spellEnd"/>
            <w:r>
              <w:rPr>
                <w:sz w:val="20"/>
                <w:szCs w:val="20"/>
              </w:rPr>
              <w:t>.</w:t>
            </w:r>
          </w:p>
        </w:tc>
      </w:tr>
      <w:tr w:rsidR="00EB3894" w14:paraId="0127E21B" w14:textId="77777777">
        <w:tblPrEx>
          <w:tblCellMar>
            <w:top w:w="0" w:type="dxa"/>
            <w:bottom w:w="0" w:type="dxa"/>
          </w:tblCellMar>
        </w:tblPrEx>
        <w:tc>
          <w:tcPr>
            <w:tcW w:w="2200" w:type="dxa"/>
            <w:tcBorders>
              <w:top w:val="single" w:sz="4" w:space="0" w:color="C4B8F0"/>
              <w:left w:val="single" w:sz="4" w:space="0" w:color="C4B8F0"/>
              <w:bottom w:val="single" w:sz="4" w:space="0" w:color="C4B8F0"/>
              <w:right w:val="single" w:sz="4" w:space="0" w:color="C4B8F0"/>
            </w:tcBorders>
            <w:shd w:val="clear" w:color="auto" w:fill="EDE9F8"/>
            <w:tcMar>
              <w:top w:w="90" w:type="dxa"/>
              <w:left w:w="150" w:type="dxa"/>
              <w:bottom w:w="90" w:type="dxa"/>
              <w:right w:w="100" w:type="dxa"/>
            </w:tcMar>
            <w:vAlign w:val="center"/>
          </w:tcPr>
          <w:p w14:paraId="4B1FF9B7" w14:textId="77777777" w:rsidR="00EB3894" w:rsidRDefault="00187C97">
            <w:pPr>
              <w:spacing w:before="30" w:after="30"/>
            </w:pPr>
            <w:r>
              <w:rPr>
                <w:b/>
                <w:bCs/>
                <w:color w:val="4B3F8F"/>
                <w:sz w:val="20"/>
                <w:szCs w:val="20"/>
              </w:rPr>
              <w:t>Sommeil de qualité</w:t>
            </w:r>
          </w:p>
        </w:tc>
        <w:tc>
          <w:tcPr>
            <w:tcW w:w="2200" w:type="dxa"/>
            <w:tcBorders>
              <w:top w:val="single" w:sz="4" w:space="0" w:color="C4B8F0"/>
              <w:left w:val="single" w:sz="4" w:space="0" w:color="C4B8F0"/>
              <w:bottom w:val="single" w:sz="4" w:space="0" w:color="C4B8F0"/>
              <w:right w:val="single" w:sz="4" w:space="0" w:color="C4B8F0"/>
            </w:tcBorders>
            <w:shd w:val="clear" w:color="auto" w:fill="E2F4F2"/>
            <w:tcMar>
              <w:top w:w="90" w:type="dxa"/>
              <w:left w:w="150" w:type="dxa"/>
              <w:bottom w:w="90" w:type="dxa"/>
              <w:right w:w="100" w:type="dxa"/>
            </w:tcMar>
            <w:vAlign w:val="center"/>
          </w:tcPr>
          <w:p w14:paraId="24BBBE2B" w14:textId="77777777" w:rsidR="00EB3894" w:rsidRDefault="00187C97">
            <w:pPr>
              <w:spacing w:before="30" w:after="30"/>
            </w:pPr>
            <w:r>
              <w:rPr>
                <w:i/>
                <w:iCs/>
                <w:color w:val="1B7A6E"/>
                <w:sz w:val="20"/>
                <w:szCs w:val="20"/>
              </w:rPr>
              <w:t xml:space="preserve">Système </w:t>
            </w:r>
            <w:proofErr w:type="spellStart"/>
            <w:r>
              <w:rPr>
                <w:i/>
                <w:iCs/>
                <w:color w:val="1B7A6E"/>
                <w:sz w:val="20"/>
                <w:szCs w:val="20"/>
              </w:rPr>
              <w:t>glymphatique</w:t>
            </w:r>
            <w:proofErr w:type="spellEnd"/>
            <w:r>
              <w:rPr>
                <w:i/>
                <w:iCs/>
                <w:color w:val="1B7A6E"/>
                <w:sz w:val="20"/>
                <w:szCs w:val="20"/>
              </w:rPr>
              <w:t xml:space="preserve"> + </w:t>
            </w:r>
            <w:proofErr w:type="spellStart"/>
            <w:r>
              <w:rPr>
                <w:i/>
                <w:iCs/>
                <w:color w:val="1B7A6E"/>
                <w:sz w:val="20"/>
                <w:szCs w:val="20"/>
              </w:rPr>
              <w:t>mélatonine</w:t>
            </w:r>
            <w:proofErr w:type="spellEnd"/>
          </w:p>
        </w:tc>
        <w:tc>
          <w:tcPr>
            <w:tcW w:w="4626" w:type="dxa"/>
            <w:tcBorders>
              <w:top w:val="single" w:sz="4" w:space="0" w:color="C4B8F0"/>
              <w:left w:val="single" w:sz="4" w:space="0" w:color="C4B8F0"/>
              <w:bottom w:val="single" w:sz="4" w:space="0" w:color="C4B8F0"/>
              <w:right w:val="single" w:sz="4" w:space="0" w:color="C4B8F0"/>
            </w:tcBorders>
            <w:shd w:val="clear" w:color="auto" w:fill="FFFFFF"/>
            <w:tcMar>
              <w:top w:w="90" w:type="dxa"/>
              <w:left w:w="150" w:type="dxa"/>
              <w:bottom w:w="90" w:type="dxa"/>
              <w:right w:w="100" w:type="dxa"/>
            </w:tcMar>
            <w:vAlign w:val="center"/>
          </w:tcPr>
          <w:p w14:paraId="517B458C" w14:textId="77777777" w:rsidR="00EB3894" w:rsidRDefault="00187C97">
            <w:pPr>
              <w:spacing w:before="30" w:after="30"/>
            </w:pPr>
            <w:r>
              <w:rPr>
                <w:sz w:val="20"/>
                <w:szCs w:val="20"/>
              </w:rPr>
              <w:t xml:space="preserve">La nuit, le cerveau se draine et élimine les déchets protéiques (dont les plaques amyloïdes). La </w:t>
            </w:r>
            <w:proofErr w:type="spellStart"/>
            <w:r>
              <w:rPr>
                <w:sz w:val="20"/>
                <w:szCs w:val="20"/>
              </w:rPr>
              <w:t>mélatonine</w:t>
            </w:r>
            <w:proofErr w:type="spellEnd"/>
            <w:r>
              <w:rPr>
                <w:sz w:val="20"/>
                <w:szCs w:val="20"/>
              </w:rPr>
              <w:t xml:space="preserve"> produite est également un puissant antioxydant cérébral.</w:t>
            </w:r>
          </w:p>
        </w:tc>
      </w:tr>
    </w:tbl>
    <w:p w14:paraId="7219DBE7" w14:textId="77777777" w:rsidR="00EB3894" w:rsidRDefault="00EB389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3894" w14:paraId="29C88D3D" w14:textId="77777777">
        <w:tblPrEx>
          <w:tblCellMar>
            <w:top w:w="0" w:type="dxa"/>
            <w:bottom w:w="0" w:type="dxa"/>
          </w:tblCellMar>
        </w:tblPrEx>
        <w:tc>
          <w:tcPr>
            <w:tcW w:w="9026" w:type="dxa"/>
            <w:tcBorders>
              <w:top w:val="single" w:sz="14" w:space="0" w:color="E8835A"/>
              <w:left w:val="single" w:sz="28" w:space="0" w:color="E8835A"/>
              <w:bottom w:val="single" w:sz="4" w:space="0" w:color="E8835A"/>
              <w:right w:val="single" w:sz="4" w:space="0" w:color="E8835A"/>
            </w:tcBorders>
            <w:shd w:val="clear" w:color="auto" w:fill="FBF0EB"/>
            <w:tcMar>
              <w:top w:w="100" w:type="dxa"/>
              <w:left w:w="160" w:type="dxa"/>
              <w:bottom w:w="100" w:type="dxa"/>
              <w:right w:w="160" w:type="dxa"/>
            </w:tcMar>
          </w:tcPr>
          <w:p w14:paraId="651632AA" w14:textId="77777777" w:rsidR="00EB3894" w:rsidRDefault="00187C97">
            <w:pPr>
              <w:spacing w:before="60" w:after="50"/>
            </w:pPr>
            <w:r>
              <w:rPr>
                <w:b/>
                <w:bCs/>
                <w:color w:val="E8835A"/>
              </w:rPr>
              <w:t xml:space="preserve">  ★  À retenir</w:t>
            </w:r>
          </w:p>
          <w:p w14:paraId="1FA291D4" w14:textId="77777777" w:rsidR="00EB3894" w:rsidRDefault="00187C97">
            <w:pPr>
              <w:spacing w:before="30" w:after="30"/>
            </w:pPr>
            <w:r>
              <w:rPr>
                <w:sz w:val="21"/>
                <w:szCs w:val="21"/>
              </w:rPr>
              <w:t xml:space="preserve">  ✓  Chaque recommandation cible un mécanisme précis de la cascade de </w:t>
            </w:r>
            <w:proofErr w:type="spellStart"/>
            <w:r>
              <w:rPr>
                <w:sz w:val="21"/>
                <w:szCs w:val="21"/>
              </w:rPr>
              <w:t>neurodégénérescence</w:t>
            </w:r>
            <w:proofErr w:type="spellEnd"/>
            <w:r>
              <w:rPr>
                <w:sz w:val="21"/>
                <w:szCs w:val="21"/>
              </w:rPr>
              <w:t>.</w:t>
            </w:r>
          </w:p>
          <w:p w14:paraId="3AC14556" w14:textId="77777777" w:rsidR="00EB3894" w:rsidRDefault="00187C97">
            <w:pPr>
              <w:spacing w:before="30" w:after="30"/>
            </w:pPr>
            <w:r>
              <w:rPr>
                <w:sz w:val="21"/>
                <w:szCs w:val="21"/>
              </w:rPr>
              <w:t xml:space="preserve">  ✓  Les interventions sont complémentaires et synergiques : elles agissent à différents niveaux simultanément.</w:t>
            </w:r>
          </w:p>
          <w:p w14:paraId="238DCD7C" w14:textId="77777777" w:rsidR="00EB3894" w:rsidRDefault="00187C97">
            <w:pPr>
              <w:spacing w:before="30" w:after="30"/>
            </w:pPr>
            <w:r>
              <w:rPr>
                <w:sz w:val="21"/>
                <w:szCs w:val="21"/>
              </w:rPr>
              <w:t xml:space="preserve">  ✓  La prévention est la stratégie la plus efficace : les lésions précèdent les symptômes de 20 à 30 ans.</w:t>
            </w:r>
          </w:p>
          <w:p w14:paraId="1210CE57" w14:textId="77777777" w:rsidR="00EB3894" w:rsidRDefault="00187C97">
            <w:pPr>
              <w:spacing w:before="30" w:after="30"/>
            </w:pPr>
            <w:r>
              <w:rPr>
                <w:sz w:val="21"/>
                <w:szCs w:val="21"/>
              </w:rPr>
              <w:t xml:space="preserve">  ✓  Un accompagnement personnalisé permet d’adapter les priorités au profil biologique de chaque consultant.</w:t>
            </w:r>
          </w:p>
        </w:tc>
      </w:tr>
    </w:tbl>
    <w:p w14:paraId="0DDF2864" w14:textId="77777777" w:rsidR="00EB3894" w:rsidRDefault="00EB3894">
      <w:pPr>
        <w:spacing w:before="120"/>
      </w:pPr>
    </w:p>
    <w:p w14:paraId="451D45E4" w14:textId="77777777" w:rsidR="00EB3894" w:rsidRDefault="00187C97">
      <w:pPr>
        <w:jc w:val="center"/>
      </w:pPr>
      <w:r>
        <w:rPr>
          <w:i/>
          <w:iCs/>
          <w:color w:val="E8835A"/>
          <w:sz w:val="19"/>
          <w:szCs w:val="19"/>
        </w:rPr>
        <w:t xml:space="preserve">Document à usage professionnel — Approche </w:t>
      </w:r>
      <w:proofErr w:type="spellStart"/>
      <w:r>
        <w:rPr>
          <w:i/>
          <w:iCs/>
          <w:color w:val="E8835A"/>
          <w:sz w:val="19"/>
          <w:szCs w:val="19"/>
        </w:rPr>
        <w:t>naturopathique</w:t>
      </w:r>
      <w:proofErr w:type="spellEnd"/>
      <w:r>
        <w:rPr>
          <w:i/>
          <w:iCs/>
          <w:color w:val="E8835A"/>
          <w:sz w:val="19"/>
          <w:szCs w:val="19"/>
        </w:rPr>
        <w:t xml:space="preserve"> — ESN Module 10 — Pascale Faivre — Mars 2026</w:t>
      </w:r>
    </w:p>
    <w:sectPr w:rsidR="00EB3894" w:rsidSect="00187C9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68126" w14:textId="77777777" w:rsidR="00187C97" w:rsidRDefault="00187C97" w:rsidP="00187C97">
      <w:r>
        <w:separator/>
      </w:r>
    </w:p>
  </w:endnote>
  <w:endnote w:type="continuationSeparator" w:id="0">
    <w:p w14:paraId="523799CF" w14:textId="77777777" w:rsidR="00187C97" w:rsidRDefault="00187C97" w:rsidP="00187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561549904"/>
      <w:docPartObj>
        <w:docPartGallery w:val="Page Numbers (Bottom of Page)"/>
        <w:docPartUnique/>
      </w:docPartObj>
    </w:sdtPr>
    <w:sdtContent>
      <w:p w14:paraId="7EF7778E" w14:textId="38CAA708" w:rsidR="00187C97" w:rsidRDefault="00187C97" w:rsidP="00AB2766">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237F3E6" w14:textId="77777777" w:rsidR="00187C97" w:rsidRDefault="00187C97" w:rsidP="00187C97">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686331536"/>
      <w:docPartObj>
        <w:docPartGallery w:val="Page Numbers (Bottom of Page)"/>
        <w:docPartUnique/>
      </w:docPartObj>
    </w:sdtPr>
    <w:sdtContent>
      <w:p w14:paraId="01597EBF" w14:textId="2C27F17D" w:rsidR="00187C97" w:rsidRDefault="00187C97" w:rsidP="00AB2766">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15</w:t>
        </w:r>
        <w:r>
          <w:rPr>
            <w:rStyle w:val="Numrodepage"/>
          </w:rPr>
          <w:fldChar w:fldCharType="end"/>
        </w:r>
      </w:p>
    </w:sdtContent>
  </w:sdt>
  <w:p w14:paraId="3C537918" w14:textId="77777777" w:rsidR="00187C97" w:rsidRDefault="00187C97" w:rsidP="00187C97">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22792" w14:textId="77777777" w:rsidR="00187C97" w:rsidRDefault="00187C9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B8BE4" w14:textId="77777777" w:rsidR="00187C97" w:rsidRDefault="00187C97" w:rsidP="00187C97">
      <w:r>
        <w:separator/>
      </w:r>
    </w:p>
  </w:footnote>
  <w:footnote w:type="continuationSeparator" w:id="0">
    <w:p w14:paraId="341083E5" w14:textId="77777777" w:rsidR="00187C97" w:rsidRDefault="00187C97" w:rsidP="00187C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83D61" w14:textId="77777777" w:rsidR="00187C97" w:rsidRDefault="00187C9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454E" w14:textId="77777777" w:rsidR="00187C97" w:rsidRDefault="00187C9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CBC9" w14:textId="77777777" w:rsidR="00187C97" w:rsidRDefault="00187C9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3398A"/>
    <w:multiLevelType w:val="hybridMultilevel"/>
    <w:tmpl w:val="FFFFFFFF"/>
    <w:lvl w:ilvl="0" w:tplc="6AF261B4">
      <w:start w:val="1"/>
      <w:numFmt w:val="bullet"/>
      <w:lvlText w:val="●"/>
      <w:lvlJc w:val="left"/>
      <w:pPr>
        <w:ind w:left="720" w:hanging="360"/>
      </w:pPr>
    </w:lvl>
    <w:lvl w:ilvl="1" w:tplc="A328BE56">
      <w:start w:val="1"/>
      <w:numFmt w:val="bullet"/>
      <w:lvlText w:val="○"/>
      <w:lvlJc w:val="left"/>
      <w:pPr>
        <w:ind w:left="1440" w:hanging="360"/>
      </w:pPr>
    </w:lvl>
    <w:lvl w:ilvl="2" w:tplc="5FA48884">
      <w:start w:val="1"/>
      <w:numFmt w:val="bullet"/>
      <w:lvlText w:val="■"/>
      <w:lvlJc w:val="left"/>
      <w:pPr>
        <w:ind w:left="2160" w:hanging="360"/>
      </w:pPr>
    </w:lvl>
    <w:lvl w:ilvl="3" w:tplc="AEF46260">
      <w:start w:val="1"/>
      <w:numFmt w:val="bullet"/>
      <w:lvlText w:val="●"/>
      <w:lvlJc w:val="left"/>
      <w:pPr>
        <w:ind w:left="2880" w:hanging="360"/>
      </w:pPr>
    </w:lvl>
    <w:lvl w:ilvl="4" w:tplc="54ACC43A">
      <w:start w:val="1"/>
      <w:numFmt w:val="bullet"/>
      <w:lvlText w:val="○"/>
      <w:lvlJc w:val="left"/>
      <w:pPr>
        <w:ind w:left="3600" w:hanging="360"/>
      </w:pPr>
    </w:lvl>
    <w:lvl w:ilvl="5" w:tplc="67C4248A">
      <w:start w:val="1"/>
      <w:numFmt w:val="bullet"/>
      <w:lvlText w:val="■"/>
      <w:lvlJc w:val="left"/>
      <w:pPr>
        <w:ind w:left="4320" w:hanging="360"/>
      </w:pPr>
    </w:lvl>
    <w:lvl w:ilvl="6" w:tplc="46128C00">
      <w:start w:val="1"/>
      <w:numFmt w:val="bullet"/>
      <w:lvlText w:val="●"/>
      <w:lvlJc w:val="left"/>
      <w:pPr>
        <w:ind w:left="5040" w:hanging="360"/>
      </w:pPr>
    </w:lvl>
    <w:lvl w:ilvl="7" w:tplc="5AAE5600">
      <w:start w:val="1"/>
      <w:numFmt w:val="bullet"/>
      <w:lvlText w:val="●"/>
      <w:lvlJc w:val="left"/>
      <w:pPr>
        <w:ind w:left="5760" w:hanging="360"/>
      </w:pPr>
    </w:lvl>
    <w:lvl w:ilvl="8" w:tplc="96B89228">
      <w:start w:val="1"/>
      <w:numFmt w:val="bullet"/>
      <w:lvlText w:val="●"/>
      <w:lvlJc w:val="left"/>
      <w:pPr>
        <w:ind w:left="6480" w:hanging="360"/>
      </w:pPr>
    </w:lvl>
  </w:abstractNum>
  <w:abstractNum w:abstractNumId="1" w15:restartNumberingAfterBreak="0">
    <w:nsid w:val="5F98072F"/>
    <w:multiLevelType w:val="hybridMultilevel"/>
    <w:tmpl w:val="FFFFFFFF"/>
    <w:lvl w:ilvl="0" w:tplc="AB3003A4">
      <w:start w:val="1"/>
      <w:numFmt w:val="bullet"/>
      <w:lvlText w:val="•"/>
      <w:lvlJc w:val="left"/>
      <w:pPr>
        <w:ind w:left="500" w:hanging="280"/>
      </w:pPr>
      <w:rPr>
        <w:rFonts w:ascii="Symbol" w:eastAsia="Symbol" w:hAnsi="Symbol" w:cs="Symbol"/>
        <w:color w:val="E8835A"/>
      </w:rPr>
    </w:lvl>
    <w:lvl w:ilvl="1" w:tplc="F642D912">
      <w:start w:val="1"/>
      <w:numFmt w:val="bullet"/>
      <w:lvlText w:val="◦"/>
      <w:lvlJc w:val="left"/>
      <w:pPr>
        <w:ind w:left="900" w:hanging="280"/>
      </w:pPr>
      <w:rPr>
        <w:rFonts w:ascii="Symbol" w:eastAsia="Symbol" w:hAnsi="Symbol" w:cs="Symbol"/>
        <w:color w:val="4B3F8F"/>
      </w:rPr>
    </w:lvl>
    <w:lvl w:ilvl="2" w:tplc="25BCF07C">
      <w:numFmt w:val="decimal"/>
      <w:lvlText w:val=""/>
      <w:lvlJc w:val="left"/>
    </w:lvl>
    <w:lvl w:ilvl="3" w:tplc="5EAAFBB8">
      <w:numFmt w:val="decimal"/>
      <w:lvlText w:val=""/>
      <w:lvlJc w:val="left"/>
    </w:lvl>
    <w:lvl w:ilvl="4" w:tplc="771E55EE">
      <w:numFmt w:val="decimal"/>
      <w:lvlText w:val=""/>
      <w:lvlJc w:val="left"/>
    </w:lvl>
    <w:lvl w:ilvl="5" w:tplc="09EAACA8">
      <w:numFmt w:val="decimal"/>
      <w:lvlText w:val=""/>
      <w:lvlJc w:val="left"/>
    </w:lvl>
    <w:lvl w:ilvl="6" w:tplc="570A840E">
      <w:numFmt w:val="decimal"/>
      <w:lvlText w:val=""/>
      <w:lvlJc w:val="left"/>
    </w:lvl>
    <w:lvl w:ilvl="7" w:tplc="7D467BE0">
      <w:numFmt w:val="decimal"/>
      <w:lvlText w:val=""/>
      <w:lvlJc w:val="left"/>
    </w:lvl>
    <w:lvl w:ilvl="8" w:tplc="DB92F60E">
      <w:numFmt w:val="decimal"/>
      <w:lvlText w:val=""/>
      <w:lvlJc w:val="left"/>
    </w:lvl>
  </w:abstractNum>
  <w:num w:numId="1" w16cid:durableId="1937201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894"/>
    <w:rsid w:val="00065184"/>
    <w:rsid w:val="00187C97"/>
    <w:rsid w:val="00EB3894"/>
    <w:rsid w:val="00F229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D80E93F"/>
  <w15:docId w15:val="{C6B7F2AC-3958-034A-A02E-D934C74E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color w:val="1A1A2E"/>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187C97"/>
    <w:pPr>
      <w:tabs>
        <w:tab w:val="center" w:pos="4536"/>
        <w:tab w:val="right" w:pos="9072"/>
      </w:tabs>
    </w:pPr>
  </w:style>
  <w:style w:type="character" w:customStyle="1" w:styleId="En-tteCar">
    <w:name w:val="En-tête Car"/>
    <w:basedOn w:val="Policepardfaut"/>
    <w:link w:val="En-tte"/>
    <w:uiPriority w:val="99"/>
    <w:rsid w:val="00187C97"/>
  </w:style>
  <w:style w:type="paragraph" w:styleId="Pieddepage">
    <w:name w:val="footer"/>
    <w:basedOn w:val="Normal"/>
    <w:link w:val="PieddepageCar"/>
    <w:uiPriority w:val="99"/>
    <w:unhideWhenUsed/>
    <w:rsid w:val="00187C97"/>
    <w:pPr>
      <w:tabs>
        <w:tab w:val="center" w:pos="4536"/>
        <w:tab w:val="right" w:pos="9072"/>
      </w:tabs>
    </w:pPr>
  </w:style>
  <w:style w:type="character" w:customStyle="1" w:styleId="PieddepageCar">
    <w:name w:val="Pied de page Car"/>
    <w:basedOn w:val="Policepardfaut"/>
    <w:link w:val="Pieddepage"/>
    <w:uiPriority w:val="99"/>
    <w:rsid w:val="00187C97"/>
  </w:style>
  <w:style w:type="character" w:styleId="Numrodepage">
    <w:name w:val="page number"/>
    <w:basedOn w:val="Policepardfaut"/>
    <w:uiPriority w:val="99"/>
    <w:semiHidden/>
    <w:unhideWhenUsed/>
    <w:rsid w:val="00187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4704</Words>
  <Characters>25875</Characters>
  <Application>Microsoft Office Word</Application>
  <DocSecurity>0</DocSecurity>
  <Lines>215</Lines>
  <Paragraphs>61</Paragraphs>
  <ScaleCrop>false</ScaleCrop>
  <Company/>
  <LinksUpToDate>false</LinksUpToDate>
  <CharactersWithSpaces>30518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PERRIN Fabien</cp:lastModifiedBy>
  <cp:revision>2</cp:revision>
  <dcterms:created xsi:type="dcterms:W3CDTF">2026-03-22T09:58:00Z</dcterms:created>
  <dcterms:modified xsi:type="dcterms:W3CDTF">2026-03-22T09:58:00Z</dcterms:modified>
</cp:coreProperties>
</file>