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F4454" w14:textId="77777777" w:rsidR="00FD5263" w:rsidRDefault="00FD5263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64553E1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9BD3DC2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40"/>
                <w:szCs w:val="40"/>
              </w:rPr>
              <w:t>TROUBLES ANXIEUX ET TOCs</w:t>
            </w:r>
          </w:p>
          <w:p w14:paraId="3BF6FCE4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color w:val="E8A598"/>
              </w:rPr>
              <w:t>Trouble panique  •  Trouble phobique  •  Trouble obsessionnel compulsif</w:t>
            </w:r>
          </w:p>
          <w:p w14:paraId="0D508043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color w:val="CCDDEE"/>
                <w:sz w:val="18"/>
                <w:szCs w:val="18"/>
              </w:rPr>
              <w:t>Pascale Faivre | ESN – Module 6</w:t>
            </w:r>
          </w:p>
        </w:tc>
      </w:tr>
    </w:tbl>
    <w:p w14:paraId="353CCC15" w14:textId="77777777" w:rsidR="00FD5263" w:rsidRDefault="00FD5263">
      <w:pPr>
        <w:spacing w:before="16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3096F97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6E0A88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>1 — TROUBLE PANIQUE</w:t>
            </w:r>
          </w:p>
        </w:tc>
      </w:tr>
    </w:tbl>
    <w:p w14:paraId="2AEE3ACE" w14:textId="77777777" w:rsidR="00FD5263" w:rsidRDefault="00FD526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5047E24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52B71F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Définition &amp; Épidémiologie</w:t>
            </w:r>
          </w:p>
        </w:tc>
      </w:tr>
    </w:tbl>
    <w:p w14:paraId="70C0723D" w14:textId="77777777" w:rsidR="00FD5263" w:rsidRDefault="00FD526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D5263" w14:paraId="659BCDB4" w14:textId="77777777">
        <w:tc>
          <w:tcPr>
            <w:tcW w:w="936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025D4" w14:textId="77777777" w:rsidR="00FD5263" w:rsidRDefault="006E021E">
            <w:pPr>
              <w:rPr>
                <w:rFonts w:ascii="Book Antiqua" w:eastAsia="Book Antiqua" w:hAnsi="Book Antiqua" w:cs="Book Antiqua"/>
                <w:b/>
                <w:bCs/>
                <w:color w:val="E8825A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 xml:space="preserve">Définition : </w:t>
            </w:r>
            <w:r>
              <w:rPr>
                <w:rFonts w:ascii="Book Antiqua" w:eastAsia="Book Antiqua" w:hAnsi="Book Antiqua" w:cs="Book Antiqua"/>
              </w:rPr>
              <w:t xml:space="preserve">trouble anxieux caractérisé par la répétition d'attaques de panique (AP) et la peur de leur survenue. Deux formes cliniques : </w:t>
            </w:r>
            <w:r>
              <w:rPr>
                <w:rFonts w:ascii="Book Antiqua" w:eastAsia="Book Antiqua" w:hAnsi="Book Antiqua" w:cs="Book Antiqua"/>
                <w:b/>
                <w:bCs/>
                <w:color w:val="E8825A"/>
              </w:rPr>
              <w:t>avec agoraphobie</w:t>
            </w:r>
            <w:r>
              <w:rPr>
                <w:rFonts w:ascii="Book Antiqua" w:eastAsia="Book Antiqua" w:hAnsi="Book Antiqua" w:cs="Book Antiqua"/>
              </w:rPr>
              <w:t xml:space="preserve"> et </w:t>
            </w:r>
            <w:r>
              <w:rPr>
                <w:rFonts w:ascii="Book Antiqua" w:eastAsia="Book Antiqua" w:hAnsi="Book Antiqua" w:cs="Book Antiqua"/>
                <w:b/>
                <w:bCs/>
                <w:color w:val="E8825A"/>
              </w:rPr>
              <w:t>sans agoraphobie.</w:t>
            </w:r>
          </w:p>
          <w:p w14:paraId="21EB940F" w14:textId="73BA4104" w:rsidR="0028541F" w:rsidRPr="002116FD" w:rsidRDefault="0028541F">
            <w:pPr>
              <w:rPr>
                <w:color w:val="000000" w:themeColor="text1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E8825A"/>
              </w:rPr>
              <w:t>A</w:t>
            </w:r>
            <w:r w:rsidR="002116FD">
              <w:rPr>
                <w:rFonts w:ascii="Book Antiqua" w:eastAsia="Book Antiqua" w:hAnsi="Book Antiqua" w:cs="Book Antiqua"/>
                <w:b/>
                <w:bCs/>
                <w:color w:val="E8825A"/>
              </w:rPr>
              <w:t xml:space="preserve">goraphobie : </w:t>
            </w:r>
            <w:r w:rsidR="002116FD" w:rsidRPr="00136A01">
              <w:rPr>
                <w:rFonts w:ascii="Book Antiqua" w:eastAsia="Book Antiqua" w:hAnsi="Book Antiqua" w:cs="Book Antiqua"/>
                <w:color w:val="1A1A1A" w:themeColor="background1" w:themeShade="1A"/>
              </w:rPr>
              <w:t>peur ou anxiété des endroits où il serait difficile ou gênant de s’échapper ou d</w:t>
            </w:r>
            <w:r w:rsidR="009124C5" w:rsidRPr="00136A01">
              <w:rPr>
                <w:rFonts w:ascii="Book Antiqua" w:eastAsia="Book Antiqua" w:hAnsi="Book Antiqua" w:cs="Book Antiqua"/>
                <w:color w:val="1A1A1A" w:themeColor="background1" w:themeShade="1A"/>
              </w:rPr>
              <w:t>’être secouru</w:t>
            </w:r>
            <w:r w:rsidR="009124C5">
              <w:rPr>
                <w:rFonts w:ascii="Book Antiqua" w:eastAsia="Book Antiqua" w:hAnsi="Book Antiqua" w:cs="Book Antiqua"/>
                <w:b/>
                <w:bCs/>
                <w:color w:val="E8825A"/>
              </w:rPr>
              <w:t>.</w:t>
            </w:r>
          </w:p>
        </w:tc>
      </w:tr>
      <w:tr w:rsidR="00FD5263" w14:paraId="451733DF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F4C75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Prévalence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94E4B8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1 à 3 % sur la vie entière</w:t>
            </w:r>
          </w:p>
        </w:tc>
      </w:tr>
      <w:tr w:rsidR="00FD5263" w14:paraId="2A6DA45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DC15D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Genre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FCDF9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Prédominance féminine</w:t>
            </w:r>
          </w:p>
        </w:tc>
      </w:tr>
      <w:tr w:rsidR="00FD5263" w14:paraId="27B52EE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6AA78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Âge de début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6AA03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Typiquement entre 20 et 30 ans (possible à tout âge)</w:t>
            </w:r>
          </w:p>
        </w:tc>
      </w:tr>
      <w:tr w:rsidR="00FD5263" w14:paraId="06D43CD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5FAE9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Comorbidité majeure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79B0D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Risque élevé d'épisode dépressif caractérisé</w:t>
            </w:r>
          </w:p>
        </w:tc>
      </w:tr>
      <w:tr w:rsidR="00FD5263" w14:paraId="5DE55F7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E7B91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Agoraphobie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72863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Peur/anxiété des endroits où il serait difficile de s'échapper ou d'être secouru</w:t>
            </w:r>
          </w:p>
        </w:tc>
      </w:tr>
    </w:tbl>
    <w:p w14:paraId="438B4718" w14:textId="77777777" w:rsidR="00FD5263" w:rsidRDefault="00FD526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36BBFDE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13343C7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Critères diagnostiques de l'Attaque de Panique (AP)</w:t>
            </w:r>
          </w:p>
        </w:tc>
      </w:tr>
    </w:tbl>
    <w:p w14:paraId="6507CA13" w14:textId="008E3B0F" w:rsidR="00FD5263" w:rsidRDefault="00FD5263">
      <w:pPr>
        <w:spacing w:before="60"/>
      </w:pPr>
    </w:p>
    <w:p w14:paraId="76E02838" w14:textId="77777777" w:rsidR="00FD5263" w:rsidRDefault="006E021E">
      <w:pPr>
        <w:spacing w:after="40"/>
      </w:pPr>
      <w:r>
        <w:rPr>
          <w:rFonts w:ascii="Book Antiqua" w:eastAsia="Book Antiqua" w:hAnsi="Book Antiqua" w:cs="Book Antiqua"/>
        </w:rPr>
        <w:t xml:space="preserve">Période bien délimitée d'intense crainte ou malaise avec </w:t>
      </w:r>
      <w:r>
        <w:rPr>
          <w:rFonts w:ascii="Book Antiqua" w:eastAsia="Book Antiqua" w:hAnsi="Book Antiqua" w:cs="Book Antiqua"/>
          <w:b/>
          <w:bCs/>
          <w:color w:val="1F3864"/>
        </w:rPr>
        <w:t>≥ 4 symptômes</w:t>
      </w:r>
      <w:r>
        <w:rPr>
          <w:rFonts w:ascii="Book Antiqua" w:eastAsia="Book Antiqua" w:hAnsi="Book Antiqua" w:cs="Book Antiqua"/>
        </w:rPr>
        <w:t xml:space="preserve"> apparaissant de façon brutale et atteignant un pic dans les 10 minutes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7"/>
        <w:gridCol w:w="3644"/>
        <w:gridCol w:w="3639"/>
      </w:tblGrid>
      <w:tr w:rsidR="00FD5263" w14:paraId="57B86BC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3ED13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Cardiovasculaires / Respiratoires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AA7A0" w14:textId="77777777" w:rsidR="00FD5263" w:rsidRDefault="006E021E">
            <w:pPr>
              <w:jc w:val="center"/>
            </w:pP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Neuromusculaires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D8809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Psychiques</w:t>
            </w:r>
          </w:p>
        </w:tc>
      </w:tr>
      <w:tr w:rsidR="00FD5263" w14:paraId="38DF835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AA494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Palpitations / tachycardie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896F6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Tremblements, secousses musculaires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42300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Déréalisation (irréalité)</w:t>
            </w:r>
          </w:p>
        </w:tc>
      </w:tr>
      <w:tr w:rsidR="00FD5263" w14:paraId="076B80AE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EF10E" w14:textId="47F60CD3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Transpiration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28C5D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Paresthésies (engourdissements, picotements)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FA360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Dépersonnalisation (détaché de soi)</w:t>
            </w:r>
          </w:p>
        </w:tc>
      </w:tr>
      <w:tr w:rsidR="00FD5263" w14:paraId="5FADF30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44EC7" w14:textId="4E80C345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Sensation d'étouffement / souffle coupé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F11A4" w14:textId="0A855FF2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Étourdissements, vertiges, instabilité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4A941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Peur de perdre le contrôle / devenir fou</w:t>
            </w:r>
          </w:p>
        </w:tc>
      </w:tr>
      <w:tr w:rsidR="00FD5263" w14:paraId="234814E9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0901C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Douleur / gêne thoracique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549BB" w14:textId="0932674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Nausées / gêne abdominale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A5052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Peur de mourir</w:t>
            </w:r>
          </w:p>
        </w:tc>
      </w:tr>
      <w:tr w:rsidR="00FD5263" w14:paraId="3A134ED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6EE30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Bouffées de chaleur ou frissons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C5C1C" w14:textId="1363B14D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Vomissements, diarrhées,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impériosité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mictionnelle</w:t>
            </w:r>
            <w:proofErr w:type="spellEnd"/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6929C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Flou visuel, impression de déjà-vu</w:t>
            </w:r>
          </w:p>
        </w:tc>
      </w:tr>
    </w:tbl>
    <w:p w14:paraId="11C4D56B" w14:textId="4556D611" w:rsidR="00FD5263" w:rsidRDefault="007B1F18">
      <w:pPr>
        <w:spacing w:before="120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734C19B" wp14:editId="761AD13D">
            <wp:simplePos x="0" y="0"/>
            <wp:positionH relativeFrom="column">
              <wp:posOffset>1267771</wp:posOffset>
            </wp:positionH>
            <wp:positionV relativeFrom="paragraph">
              <wp:posOffset>235707</wp:posOffset>
            </wp:positionV>
            <wp:extent cx="3608705" cy="2365375"/>
            <wp:effectExtent l="0" t="0" r="0" b="0"/>
            <wp:wrapTopAndBottom/>
            <wp:docPr id="16639018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01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8705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E5C16D" w14:textId="2E1C8485" w:rsidR="00970910" w:rsidRDefault="00970910">
      <w:pPr>
        <w:spacing w:before="120"/>
      </w:pPr>
    </w:p>
    <w:p w14:paraId="7F0C9EF7" w14:textId="132942B9" w:rsidR="00970910" w:rsidRDefault="00970910">
      <w:pPr>
        <w:spacing w:before="120"/>
      </w:pPr>
    </w:p>
    <w:p w14:paraId="5ABDDA31" w14:textId="77777777" w:rsidR="00970910" w:rsidRDefault="00970910">
      <w:pPr>
        <w:spacing w:before="120"/>
      </w:pPr>
    </w:p>
    <w:p w14:paraId="036F51F7" w14:textId="77777777" w:rsidR="00970910" w:rsidRDefault="00970910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6930262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3C23A4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Sémiologie : la spirale de la panique (Clark, 1986)</w:t>
            </w:r>
          </w:p>
        </w:tc>
      </w:tr>
    </w:tbl>
    <w:p w14:paraId="77340B91" w14:textId="1591A96F" w:rsidR="00FD5263" w:rsidRDefault="0029643D">
      <w:pPr>
        <w:spacing w:before="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2C6C67" wp14:editId="36F4F2DA">
            <wp:simplePos x="0" y="0"/>
            <wp:positionH relativeFrom="column">
              <wp:posOffset>1435019</wp:posOffset>
            </wp:positionH>
            <wp:positionV relativeFrom="paragraph">
              <wp:posOffset>1788444</wp:posOffset>
            </wp:positionV>
            <wp:extent cx="3161436" cy="2445385"/>
            <wp:effectExtent l="0" t="0" r="1270" b="5715"/>
            <wp:wrapTopAndBottom/>
            <wp:docPr id="21030492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49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1436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D5263" w14:paraId="429C708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CA75F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Mécanisme central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DBE5A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Anxiété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anticipatoire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→ évitement des situations déclenchantes</w:t>
            </w:r>
          </w:p>
        </w:tc>
      </w:tr>
      <w:tr w:rsidR="00FD5263" w14:paraId="6D08B86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642EA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Peur d'avoir peur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1CA3F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Anticipation permanente de la survenue d'une AP</w:t>
            </w:r>
          </w:p>
        </w:tc>
      </w:tr>
      <w:tr w:rsidR="00FD5263" w14:paraId="5618CADE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79912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Cercle vicieux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803DC" w14:textId="2EB68AAB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Sensations corporelles → appréhension → interprétations catastrophiques → déclenchement réel de l'AP</w:t>
            </w:r>
            <w:r w:rsidR="00251BB9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(rien </w:t>
            </w:r>
            <w:r w:rsidR="0054277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que le fait d’y penser peut déclencher une crise de panique).</w:t>
            </w:r>
          </w:p>
        </w:tc>
      </w:tr>
      <w:tr w:rsidR="00FD5263" w14:paraId="03F139C1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B7D1C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Distorsions cognitives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B56E3" w14:textId="3602909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Interprétation catastrophique de sensations internes physiologiques normales</w:t>
            </w:r>
            <w:r w:rsidR="0029643D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 : On peut le travailler en TCC</w:t>
            </w:r>
            <w:r w:rsidR="00687A9D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. Chacun interprète différemment.</w:t>
            </w:r>
          </w:p>
        </w:tc>
      </w:tr>
    </w:tbl>
    <w:p w14:paraId="58415B2E" w14:textId="04D25EF6" w:rsidR="00FD5263" w:rsidRDefault="00FD5263">
      <w:pPr>
        <w:spacing w:before="120"/>
      </w:pPr>
    </w:p>
    <w:p w14:paraId="6DAB1981" w14:textId="77777777" w:rsidR="007B1F18" w:rsidRDefault="007B1F18">
      <w:pPr>
        <w:spacing w:before="120"/>
      </w:pPr>
    </w:p>
    <w:p w14:paraId="55A82663" w14:textId="77777777" w:rsidR="007B1F18" w:rsidRDefault="007B1F18">
      <w:pPr>
        <w:spacing w:before="120"/>
      </w:pPr>
    </w:p>
    <w:p w14:paraId="526455AF" w14:textId="77777777" w:rsidR="007B1F18" w:rsidRDefault="007B1F18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5470D8C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53EB25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lastRenderedPageBreak/>
              <w:t>Étiologie</w:t>
            </w:r>
          </w:p>
        </w:tc>
      </w:tr>
    </w:tbl>
    <w:p w14:paraId="083A6C66" w14:textId="77777777" w:rsidR="00FD5263" w:rsidRDefault="00FD5263">
      <w:pPr>
        <w:spacing w:before="60"/>
      </w:pPr>
    </w:p>
    <w:p w14:paraId="445D2772" w14:textId="77777777" w:rsidR="00FD5263" w:rsidRDefault="006E021E">
      <w:pPr>
        <w:pStyle w:val="Paragraphedeliste"/>
        <w:numPr>
          <w:ilvl w:val="0"/>
          <w:numId w:val="2"/>
        </w:numPr>
        <w:spacing w:before="30" w:after="30"/>
      </w:pPr>
      <w:r>
        <w:rPr>
          <w:rFonts w:ascii="Book Antiqua" w:eastAsia="Book Antiqua" w:hAnsi="Book Antiqua" w:cs="Book Antiqua"/>
          <w:color w:val="000000"/>
        </w:rPr>
        <w:t>Spontanée, totalement imprévisible, sans facteur déclenchant identifié</w:t>
      </w:r>
    </w:p>
    <w:p w14:paraId="44BF2890" w14:textId="77777777" w:rsidR="00FD5263" w:rsidRDefault="006E021E">
      <w:pPr>
        <w:pStyle w:val="Paragraphedeliste"/>
        <w:numPr>
          <w:ilvl w:val="0"/>
          <w:numId w:val="2"/>
        </w:numPr>
        <w:spacing w:before="30" w:after="30"/>
      </w:pPr>
      <w:r>
        <w:rPr>
          <w:rFonts w:ascii="Book Antiqua" w:eastAsia="Book Antiqua" w:hAnsi="Book Antiqua" w:cs="Book Antiqua"/>
          <w:b/>
          <w:bCs/>
          <w:color w:val="1F3864"/>
        </w:rPr>
        <w:t>Induites par des substances :</w:t>
      </w:r>
    </w:p>
    <w:p w14:paraId="74840895" w14:textId="77777777" w:rsidR="00FD5263" w:rsidRDefault="006E021E">
      <w:pPr>
        <w:pStyle w:val="Paragraphedeliste"/>
        <w:numPr>
          <w:ilvl w:val="0"/>
          <w:numId w:val="3"/>
        </w:numPr>
        <w:spacing w:before="20" w:after="20"/>
      </w:pPr>
      <w:r>
        <w:rPr>
          <w:rFonts w:ascii="Book Antiqua" w:eastAsia="Book Antiqua" w:hAnsi="Book Antiqua" w:cs="Book Antiqua"/>
          <w:color w:val="333333"/>
          <w:sz w:val="19"/>
          <w:szCs w:val="19"/>
        </w:rPr>
        <w:t xml:space="preserve">Alcool, cannabis, LSD, caféine, </w:t>
      </w:r>
      <w:proofErr w:type="spellStart"/>
      <w:r>
        <w:rPr>
          <w:rFonts w:ascii="Book Antiqua" w:eastAsia="Book Antiqua" w:hAnsi="Book Antiqua" w:cs="Book Antiqua"/>
          <w:color w:val="333333"/>
          <w:sz w:val="19"/>
          <w:szCs w:val="19"/>
        </w:rPr>
        <w:t>anticholinergiques</w:t>
      </w:r>
      <w:proofErr w:type="spellEnd"/>
    </w:p>
    <w:p w14:paraId="084A2808" w14:textId="607F0587" w:rsidR="00FD5263" w:rsidRDefault="006E021E">
      <w:pPr>
        <w:pStyle w:val="Paragraphedeliste"/>
        <w:numPr>
          <w:ilvl w:val="0"/>
          <w:numId w:val="3"/>
        </w:numPr>
        <w:spacing w:before="20" w:after="20"/>
      </w:pPr>
      <w:r>
        <w:rPr>
          <w:rFonts w:ascii="Book Antiqua" w:eastAsia="Book Antiqua" w:hAnsi="Book Antiqua" w:cs="Book Antiqua"/>
          <w:color w:val="333333"/>
          <w:sz w:val="19"/>
          <w:szCs w:val="19"/>
        </w:rPr>
        <w:t xml:space="preserve">Glutamate de </w:t>
      </w:r>
      <w:proofErr w:type="spellStart"/>
      <w:r>
        <w:rPr>
          <w:rFonts w:ascii="Book Antiqua" w:eastAsia="Book Antiqua" w:hAnsi="Book Antiqua" w:cs="Book Antiqua"/>
          <w:color w:val="333333"/>
          <w:sz w:val="19"/>
          <w:szCs w:val="19"/>
        </w:rPr>
        <w:t>monosodium</w:t>
      </w:r>
      <w:proofErr w:type="spellEnd"/>
      <w:r w:rsidR="00F3501E">
        <w:rPr>
          <w:rFonts w:ascii="Book Antiqua" w:eastAsia="Book Antiqua" w:hAnsi="Book Antiqua" w:cs="Book Antiqua"/>
          <w:color w:val="333333"/>
          <w:sz w:val="19"/>
          <w:szCs w:val="19"/>
        </w:rPr>
        <w:t xml:space="preserve"> (neurotra</w:t>
      </w:r>
      <w:r w:rsidR="009F5CE8">
        <w:rPr>
          <w:rFonts w:ascii="Book Antiqua" w:eastAsia="Book Antiqua" w:hAnsi="Book Antiqua" w:cs="Book Antiqua"/>
          <w:color w:val="333333"/>
          <w:sz w:val="19"/>
          <w:szCs w:val="19"/>
        </w:rPr>
        <w:t>nsmetteur qui est excitateur dans produits asiatiques)</w:t>
      </w:r>
      <w:r>
        <w:rPr>
          <w:rFonts w:ascii="Book Antiqua" w:eastAsia="Book Antiqua" w:hAnsi="Book Antiqua" w:cs="Book Antiqua"/>
          <w:color w:val="333333"/>
          <w:sz w:val="19"/>
          <w:szCs w:val="19"/>
        </w:rPr>
        <w:t xml:space="preserve">, </w:t>
      </w:r>
      <w:proofErr w:type="spellStart"/>
      <w:r>
        <w:rPr>
          <w:rFonts w:ascii="Book Antiqua" w:eastAsia="Book Antiqua" w:hAnsi="Book Antiqua" w:cs="Book Antiqua"/>
          <w:color w:val="333333"/>
          <w:sz w:val="19"/>
          <w:szCs w:val="19"/>
        </w:rPr>
        <w:t>psychostimulants</w:t>
      </w:r>
      <w:proofErr w:type="spellEnd"/>
      <w:r>
        <w:rPr>
          <w:rFonts w:ascii="Book Antiqua" w:eastAsia="Book Antiqua" w:hAnsi="Book Antiqua" w:cs="Book Antiqua"/>
          <w:color w:val="333333"/>
          <w:sz w:val="19"/>
          <w:szCs w:val="19"/>
        </w:rPr>
        <w:t>, hallucinogènes</w:t>
      </w:r>
    </w:p>
    <w:p w14:paraId="1FEE5D9A" w14:textId="77777777" w:rsidR="00FD5263" w:rsidRDefault="006E021E">
      <w:pPr>
        <w:pStyle w:val="Paragraphedeliste"/>
        <w:numPr>
          <w:ilvl w:val="0"/>
          <w:numId w:val="3"/>
        </w:numPr>
        <w:spacing w:before="20" w:after="20"/>
      </w:pPr>
      <w:proofErr w:type="spellStart"/>
      <w:r>
        <w:rPr>
          <w:rFonts w:ascii="Book Antiqua" w:eastAsia="Book Antiqua" w:hAnsi="Book Antiqua" w:cs="Book Antiqua"/>
          <w:color w:val="333333"/>
          <w:sz w:val="19"/>
          <w:szCs w:val="19"/>
        </w:rPr>
        <w:t>Benzodiazépines</w:t>
      </w:r>
      <w:proofErr w:type="spellEnd"/>
      <w:r>
        <w:rPr>
          <w:rFonts w:ascii="Book Antiqua" w:eastAsia="Book Antiqua" w:hAnsi="Book Antiqua" w:cs="Book Antiqua"/>
          <w:color w:val="333333"/>
          <w:sz w:val="19"/>
          <w:szCs w:val="19"/>
        </w:rPr>
        <w:t>, hormones thyroïdiennes, antipsychotiques</w:t>
      </w:r>
    </w:p>
    <w:p w14:paraId="1689943F" w14:textId="12AB44B7" w:rsidR="00FD5263" w:rsidRDefault="006E021E">
      <w:pPr>
        <w:pStyle w:val="Paragraphedeliste"/>
        <w:numPr>
          <w:ilvl w:val="0"/>
          <w:numId w:val="2"/>
        </w:numPr>
        <w:spacing w:before="30" w:after="30"/>
      </w:pPr>
      <w:r>
        <w:rPr>
          <w:rFonts w:ascii="Book Antiqua" w:eastAsia="Book Antiqua" w:hAnsi="Book Antiqua" w:cs="Book Antiqua"/>
          <w:b/>
          <w:bCs/>
          <w:color w:val="1F3864"/>
        </w:rPr>
        <w:t xml:space="preserve">Induites par sevrage : alcool, opiacés, </w:t>
      </w:r>
      <w:proofErr w:type="spellStart"/>
      <w:r>
        <w:rPr>
          <w:rFonts w:ascii="Book Antiqua" w:eastAsia="Book Antiqua" w:hAnsi="Book Antiqua" w:cs="Book Antiqua"/>
          <w:b/>
          <w:bCs/>
          <w:color w:val="1F3864"/>
        </w:rPr>
        <w:t>benzodiazépines</w:t>
      </w:r>
      <w:proofErr w:type="spellEnd"/>
      <w:r w:rsidR="002014D9">
        <w:rPr>
          <w:rFonts w:ascii="Book Antiqua" w:eastAsia="Book Antiqua" w:hAnsi="Book Antiqua" w:cs="Book Antiqua"/>
          <w:b/>
          <w:bCs/>
          <w:color w:val="1F3864"/>
        </w:rPr>
        <w:t xml:space="preserve"> (court terme 3 semaines voir 1 mois avec période de sevrage </w:t>
      </w:r>
      <w:r w:rsidR="00D43103">
        <w:rPr>
          <w:rFonts w:ascii="Book Antiqua" w:eastAsia="Book Antiqua" w:hAnsi="Book Antiqua" w:cs="Book Antiqua"/>
          <w:b/>
          <w:bCs/>
          <w:color w:val="1F3864"/>
        </w:rPr>
        <w:t>inclus)</w:t>
      </w:r>
      <w:r>
        <w:rPr>
          <w:rFonts w:ascii="Book Antiqua" w:eastAsia="Book Antiqua" w:hAnsi="Book Antiqua" w:cs="Book Antiqua"/>
          <w:b/>
          <w:bCs/>
          <w:color w:val="1F3864"/>
        </w:rPr>
        <w:t xml:space="preserve">, certains </w:t>
      </w:r>
      <w:proofErr w:type="spellStart"/>
      <w:r>
        <w:rPr>
          <w:rFonts w:ascii="Book Antiqua" w:eastAsia="Book Antiqua" w:hAnsi="Book Antiqua" w:cs="Book Antiqua"/>
          <w:b/>
          <w:bCs/>
          <w:color w:val="1F3864"/>
        </w:rPr>
        <w:t>antihypertenseurs</w:t>
      </w:r>
      <w:proofErr w:type="spellEnd"/>
      <w:r w:rsidR="00D43103">
        <w:rPr>
          <w:rFonts w:ascii="Book Antiqua" w:eastAsia="Book Antiqua" w:hAnsi="Book Antiqua" w:cs="Book Antiqua"/>
          <w:b/>
          <w:bCs/>
          <w:color w:val="1F3864"/>
        </w:rPr>
        <w:t>.</w:t>
      </w:r>
    </w:p>
    <w:p w14:paraId="3708EA50" w14:textId="77777777" w:rsidR="00FD5263" w:rsidRDefault="006E021E">
      <w:pPr>
        <w:pStyle w:val="Paragraphedeliste"/>
        <w:numPr>
          <w:ilvl w:val="0"/>
          <w:numId w:val="2"/>
        </w:numPr>
        <w:spacing w:before="30" w:after="30"/>
      </w:pPr>
      <w:r>
        <w:rPr>
          <w:rFonts w:ascii="Book Antiqua" w:eastAsia="Book Antiqua" w:hAnsi="Book Antiqua" w:cs="Book Antiqua"/>
          <w:color w:val="000000"/>
        </w:rPr>
        <w:t>Associées à des comorbidités psychiatriques : dépression, psychose, dépendances</w:t>
      </w:r>
    </w:p>
    <w:p w14:paraId="22DC191D" w14:textId="77777777" w:rsidR="006D7EBD" w:rsidRDefault="006D7EBD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154992C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E9680E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Physiopathologie (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multifactorielle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)</w:t>
            </w:r>
          </w:p>
        </w:tc>
      </w:tr>
    </w:tbl>
    <w:p w14:paraId="42902D17" w14:textId="741E87A7" w:rsidR="00FD5263" w:rsidRDefault="00FD526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8"/>
        <w:gridCol w:w="5052"/>
      </w:tblGrid>
      <w:tr w:rsidR="00FD5263" w14:paraId="7652458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1EA010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Facteur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F59BC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Mécanisme impliqué</w:t>
            </w:r>
          </w:p>
        </w:tc>
      </w:tr>
      <w:tr w:rsidR="00FD5263" w14:paraId="08FB20E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344A2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Génétiques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CD1D8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Prédisposition héréditaire</w:t>
            </w:r>
          </w:p>
        </w:tc>
      </w:tr>
      <w:tr w:rsidR="00FD5263" w14:paraId="69C1322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98101" w14:textId="7A166F0D" w:rsidR="00FD5263" w:rsidRDefault="00ED720F">
            <w:r w:rsidRPr="00710E4E">
              <w:rPr>
                <w:rFonts w:ascii="Book Antiqua" w:eastAsia="Book Antiqua" w:hAnsi="Book Antiqua" w:cs="Book Antiqua"/>
                <w:b/>
                <w:bCs/>
                <w:noProof/>
                <w:color w:val="1F3864"/>
                <w:sz w:val="19"/>
                <w:szCs w:val="19"/>
              </w:rPr>
              <w:drawing>
                <wp:anchor distT="0" distB="0" distL="114300" distR="114300" simplePos="0" relativeHeight="251663360" behindDoc="0" locked="0" layoutInCell="1" allowOverlap="1" wp14:anchorId="4D768560" wp14:editId="6C5D53A2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153670</wp:posOffset>
                  </wp:positionV>
                  <wp:extent cx="2557780" cy="2228215"/>
                  <wp:effectExtent l="0" t="0" r="0" b="0"/>
                  <wp:wrapTopAndBottom/>
                  <wp:docPr id="139723972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2397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780" cy="222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6E021E"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Neurobiologiques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128F1" w14:textId="77777777" w:rsidR="007F69C9" w:rsidRDefault="006E021E">
            <w:pP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Dysfonctionnement amygdale / boucles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cortico-striato-thalamo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-corticales</w:t>
            </w:r>
            <w:r w:rsidR="00ED720F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(aller et retour)</w:t>
            </w:r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;</w:t>
            </w:r>
            <w:r w:rsidR="00ED720F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il y aurait une anomalie au </w:t>
            </w:r>
            <w:r w:rsidR="007F69C9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niveau des</w:t>
            </w:r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↑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catécholamines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; </w:t>
            </w:r>
          </w:p>
          <w:p w14:paraId="6CB37E61" w14:textId="77777777" w:rsidR="00DE40C0" w:rsidRDefault="007F69C9">
            <w:pP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T</w:t>
            </w:r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roubles locus </w:t>
            </w:r>
            <w:proofErr w:type="spellStart"/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cœruleus</w:t>
            </w:r>
            <w:proofErr w:type="spellEnd"/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(</w:t>
            </w:r>
            <w:proofErr w:type="spellStart"/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noradrénaline</w:t>
            </w:r>
            <w:proofErr w:type="spellEnd"/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)</w:t>
            </w:r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, ce qui régule le niveau</w:t>
            </w:r>
            <w:r w:rsidR="00DE40C0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d’anxiété</w:t>
            </w:r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; </w:t>
            </w:r>
          </w:p>
          <w:p w14:paraId="5CEEC3D9" w14:textId="77777777" w:rsidR="00DE40C0" w:rsidRDefault="00DE40C0">
            <w:pP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H</w:t>
            </w:r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ypersensibilité centre </w:t>
            </w:r>
            <w:proofErr w:type="spellStart"/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respi</w:t>
            </w:r>
            <w:proofErr w:type="spellEnd"/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. au CO₂ ; </w:t>
            </w:r>
          </w:p>
          <w:p w14:paraId="677A6ECC" w14:textId="28E88655" w:rsidR="00FD5263" w:rsidRDefault="00DE40C0">
            <w:pP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T</w:t>
            </w:r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roubles métabolisme </w:t>
            </w:r>
            <w:proofErr w:type="spellStart"/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lactate</w:t>
            </w:r>
            <w:proofErr w:type="spellEnd"/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; </w:t>
            </w:r>
            <w:proofErr w:type="spellStart"/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hypogabaergie</w:t>
            </w:r>
            <w:proofErr w:type="spellEnd"/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(↓ GABA)</w:t>
            </w:r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inhibiteur du g</w:t>
            </w:r>
            <w:r w:rsidR="002C3962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lutamate. </w:t>
            </w:r>
          </w:p>
          <w:p w14:paraId="704CEFE0" w14:textId="77777777" w:rsidR="00ED720F" w:rsidRDefault="00ED720F">
            <w:pP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</w:pPr>
          </w:p>
          <w:p w14:paraId="4446C35A" w14:textId="77777777" w:rsidR="00ED720F" w:rsidRDefault="00ED720F"/>
        </w:tc>
      </w:tr>
      <w:tr w:rsidR="00FD5263" w14:paraId="12EC93D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EEA6D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Cognitifs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417A9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Phobie introspective → interprétation catastrophique des sensations internes</w:t>
            </w:r>
          </w:p>
        </w:tc>
      </w:tr>
      <w:tr w:rsidR="00FD5263" w14:paraId="17E35434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0C36D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Environnementaux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5ED09" w14:textId="43979FE9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Stress, événements de vie, apprentissage de la peur</w:t>
            </w:r>
            <w:r w:rsidR="00C64AC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,</w:t>
            </w:r>
            <w:r w:rsidR="00131EB3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éducation aussi qui peut amener l’anxiété.</w:t>
            </w:r>
          </w:p>
        </w:tc>
      </w:tr>
      <w:tr w:rsidR="00FD5263" w14:paraId="50596E0C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211E1" w14:textId="77777777" w:rsidR="00FD5263" w:rsidRDefault="006E021E"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Cognitivo-comportemental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4A70D" w14:textId="0A81B97E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Mauvais apprentissage de la peur en réponse à stimuli environnementaux →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chronicisation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par « alarme apprise »</w:t>
            </w:r>
            <w:r w:rsidR="00DE6B9B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La</w:t>
            </w:r>
            <w:r w:rsidR="00E95F35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gestion des premières peurs qui engendre ces anxiétés</w:t>
            </w:r>
            <w:r w:rsidR="004D7588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. </w:t>
            </w:r>
            <w:r w:rsidR="00E95F35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.</w:t>
            </w:r>
          </w:p>
        </w:tc>
      </w:tr>
    </w:tbl>
    <w:p w14:paraId="11DF9169" w14:textId="5247111F" w:rsidR="00FD5263" w:rsidRDefault="008126E3">
      <w:pPr>
        <w:spacing w:before="120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684D083" wp14:editId="27EBA09E">
            <wp:simplePos x="0" y="0"/>
            <wp:positionH relativeFrom="column">
              <wp:posOffset>646741</wp:posOffset>
            </wp:positionH>
            <wp:positionV relativeFrom="paragraph">
              <wp:posOffset>272523</wp:posOffset>
            </wp:positionV>
            <wp:extent cx="4709795" cy="2451100"/>
            <wp:effectExtent l="0" t="0" r="1905" b="0"/>
            <wp:wrapTopAndBottom/>
            <wp:docPr id="14234268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26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762947A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8DA34D2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Évolution &amp; Complications</w:t>
            </w:r>
          </w:p>
        </w:tc>
      </w:tr>
    </w:tbl>
    <w:p w14:paraId="28AF0366" w14:textId="77777777" w:rsidR="00FD5263" w:rsidRDefault="00FD526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D5263" w14:paraId="2865A2FC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23433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Évolution générale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961B2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Trouble chronique avec risque important de rechutes ; amélioration partielle possible après 10-15 ans</w:t>
            </w:r>
          </w:p>
        </w:tc>
      </w:tr>
      <w:tr w:rsidR="00FD5263" w14:paraId="38D9DD1F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A75A9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Anxiété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anticipatoire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0C59D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Persiste souvent plusieurs années même après stabilisation</w:t>
            </w:r>
          </w:p>
        </w:tc>
      </w:tr>
      <w:tr w:rsidR="00FD5263" w14:paraId="01732CD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4B3DF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Épisode dépressif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754209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60 à 70 % des cas</w:t>
            </w:r>
          </w:p>
        </w:tc>
      </w:tr>
      <w:tr w:rsidR="00FD5263" w14:paraId="498DC7C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ADD5D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Addictions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AFC4B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20 à 40 % des cas</w:t>
            </w:r>
          </w:p>
        </w:tc>
      </w:tr>
      <w:tr w:rsidR="00FD5263" w14:paraId="1ED4884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6D55E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Répercussions socio-pro.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46571" w14:textId="1B90F013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Besoin d'accompagnement, limitation des déplacements</w:t>
            </w:r>
            <w:r w:rsidR="000B6959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(</w:t>
            </w:r>
            <w:r w:rsidR="00DD14E9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attention au repli sur soi)</w:t>
            </w:r>
          </w:p>
        </w:tc>
      </w:tr>
    </w:tbl>
    <w:p w14:paraId="5A7CD8AB" w14:textId="77777777" w:rsidR="00FD5263" w:rsidRDefault="00FD526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0FB5E3F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290FFE7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Prise en charge</w:t>
            </w:r>
          </w:p>
        </w:tc>
      </w:tr>
    </w:tbl>
    <w:p w14:paraId="4FF814B0" w14:textId="77777777" w:rsidR="00FD5263" w:rsidRDefault="00FD526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D5263" w14:paraId="732E36C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E821E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Pharmacologique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2C577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Non pharmacologique</w:t>
            </w:r>
          </w:p>
        </w:tc>
      </w:tr>
      <w:tr w:rsidR="00FD5263" w14:paraId="64BE1DFE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8543F" w14:textId="3D836E2C" w:rsidR="00FD5263" w:rsidRDefault="006E021E">
            <w:pPr>
              <w:spacing w:before="20" w:after="20"/>
            </w:pPr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IRS </w:t>
            </w:r>
            <w:r w:rsidR="00DD14E9"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Inhibiteur de capture de la sérotonine </w:t>
            </w:r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(formes sévères) :</w:t>
            </w:r>
          </w:p>
          <w:p w14:paraId="27C4DA91" w14:textId="77777777" w:rsidR="00FD5263" w:rsidRDefault="006E021E">
            <w:pPr>
              <w:spacing w:before="10" w:after="10"/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→ délai : 3-4 semaines / durée : 6-12 mois</w:t>
            </w:r>
          </w:p>
          <w:p w14:paraId="4601B2CF" w14:textId="77777777" w:rsidR="00FD5263" w:rsidRDefault="006E021E">
            <w:pPr>
              <w:spacing w:before="20" w:after="20"/>
            </w:pP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Benzodiazépines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 (ex. Xanax®) :</w:t>
            </w:r>
          </w:p>
          <w:p w14:paraId="4A3589A3" w14:textId="77777777" w:rsidR="00FD5263" w:rsidRDefault="006E021E">
            <w:pPr>
              <w:spacing w:before="10" w:after="10"/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→ pendant les crises uniquement (action rapide)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E1546" w14:textId="474C647C" w:rsidR="00FD5263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>Éducation du patient (réassurance, information)</w:t>
            </w:r>
            <w:r w:rsidR="00292F68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, parfois </w:t>
            </w:r>
            <w:r w:rsidR="000E1146">
              <w:rPr>
                <w:rFonts w:ascii="Book Antiqua" w:eastAsia="Book Antiqua" w:hAnsi="Book Antiqua" w:cs="Book Antiqua"/>
                <w:sz w:val="19"/>
                <w:szCs w:val="19"/>
              </w:rPr>
              <w:t>dès que le médecin arrive la crise se calme car il y a une personne.</w:t>
            </w:r>
          </w:p>
          <w:p w14:paraId="02B2D6DB" w14:textId="77777777" w:rsidR="00FD5263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Mesures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hygièno-diététiques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: arrêt excitants, équilibre alimentaire, activité physique, hygiène du sommeil</w:t>
            </w:r>
          </w:p>
          <w:p w14:paraId="21E93A6C" w14:textId="77777777" w:rsidR="00FD5263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>TCC + exposition/désensibilisation aux sensations physiques</w:t>
            </w:r>
          </w:p>
          <w:p w14:paraId="0B7307D1" w14:textId="77777777" w:rsidR="00FD5263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>Relaxation : méditation, cohérence cardiaque, sophrologie</w:t>
            </w:r>
          </w:p>
          <w:p w14:paraId="56FF8CCE" w14:textId="0FE9D767" w:rsidR="00FD5263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>HE</w:t>
            </w:r>
            <w:r w:rsidR="006365EF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en ol</w:t>
            </w:r>
            <w:r w:rsidR="00883CC8">
              <w:rPr>
                <w:rFonts w:ascii="Book Antiqua" w:eastAsia="Book Antiqua" w:hAnsi="Book Antiqua" w:cs="Book Antiqua"/>
                <w:sz w:val="19"/>
                <w:szCs w:val="19"/>
              </w:rPr>
              <w:t>faction (symptomatique)</w:t>
            </w:r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: orange, lavande, marjolaine à coquille, verveine citronnée</w:t>
            </w:r>
            <w:r w:rsidR="00EA24E5">
              <w:rPr>
                <w:rFonts w:ascii="Book Antiqua" w:eastAsia="Book Antiqua" w:hAnsi="Book Antiqua" w:cs="Book Antiqua"/>
                <w:sz w:val="19"/>
                <w:szCs w:val="19"/>
              </w:rPr>
              <w:t>, camomille matricaire.</w:t>
            </w:r>
          </w:p>
          <w:p w14:paraId="29FF10C4" w14:textId="77777777" w:rsidR="00FD5263" w:rsidRPr="009D2306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>Respiration abdominale, respiration alternée, visualisation</w:t>
            </w:r>
            <w:r w:rsidR="00A64C44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d’un end</w:t>
            </w:r>
            <w:r w:rsidR="009D2306">
              <w:rPr>
                <w:rFonts w:ascii="Book Antiqua" w:eastAsia="Book Antiqua" w:hAnsi="Book Antiqua" w:cs="Book Antiqua"/>
                <w:sz w:val="19"/>
                <w:szCs w:val="19"/>
              </w:rPr>
              <w:t>roit apaisant,</w:t>
            </w:r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acupression</w:t>
            </w:r>
            <w:proofErr w:type="spellEnd"/>
            <w:r w:rsidR="009D2306">
              <w:rPr>
                <w:rFonts w:ascii="Book Antiqua" w:eastAsia="Book Antiqua" w:hAnsi="Book Antiqua" w:cs="Book Antiqua"/>
                <w:sz w:val="19"/>
                <w:szCs w:val="19"/>
              </w:rPr>
              <w:t>.</w:t>
            </w:r>
          </w:p>
          <w:p w14:paraId="24C9974D" w14:textId="5F7ED70F" w:rsidR="009D2306" w:rsidRDefault="009D2306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>Tapoter son thymus pour relâcher le stress.</w:t>
            </w:r>
          </w:p>
        </w:tc>
      </w:tr>
    </w:tbl>
    <w:p w14:paraId="6C917BE0" w14:textId="2F510F6E" w:rsidR="00FD5263" w:rsidRDefault="008B4439">
      <w:pPr>
        <w:spacing w:before="200"/>
      </w:pPr>
      <w:r>
        <w:t xml:space="preserve">Plante de l’anxiété : </w:t>
      </w:r>
      <w:proofErr w:type="spellStart"/>
      <w:r>
        <w:t>Griffonia</w:t>
      </w:r>
      <w:proofErr w:type="spellEnd"/>
      <w:r>
        <w:t xml:space="preserve">/ GABA (attention au </w:t>
      </w:r>
      <w:r w:rsidR="00E63DC3">
        <w:t>dosage, commencer par un faible dosage) /</w:t>
      </w:r>
      <w:r>
        <w:t xml:space="preserve"> </w:t>
      </w:r>
      <w:r w:rsidR="00E63DC3">
        <w:t>Passiflore</w:t>
      </w:r>
      <w:r w:rsidR="00E946D9">
        <w:t xml:space="preserve"> / Camomille</w:t>
      </w:r>
      <w:r w:rsidR="00500FFC">
        <w:t>/ Valériane.</w:t>
      </w:r>
      <w:r w:rsidR="009302FE">
        <w:t xml:space="preserve"> Mélisse </w:t>
      </w:r>
      <w:r w:rsidR="006021AF">
        <w:t>si trouble digestif anxiété</w:t>
      </w:r>
      <w:r w:rsidR="00CB101C">
        <w:t>.</w:t>
      </w:r>
    </w:p>
    <w:p w14:paraId="763F3DBF" w14:textId="295B6419" w:rsidR="00D467BB" w:rsidRDefault="00D467BB">
      <w:pPr>
        <w:spacing w:before="200"/>
      </w:pPr>
      <w:r>
        <w:t>Attention au Millepertuis</w:t>
      </w:r>
      <w:r w:rsidR="00E946D9">
        <w:t xml:space="preserve"> (</w:t>
      </w:r>
      <w:proofErr w:type="spellStart"/>
      <w:r w:rsidR="00E946D9">
        <w:t>photosensibilisant</w:t>
      </w:r>
      <w:proofErr w:type="spellEnd"/>
      <w:r w:rsidR="00E946D9">
        <w:t xml:space="preserve">, inhibe la </w:t>
      </w:r>
      <w:r w:rsidR="001158E0">
        <w:t>pilule) plutôt</w:t>
      </w:r>
      <w:r w:rsidR="00E946D9">
        <w:t xml:space="preserve"> </w:t>
      </w:r>
      <w:r w:rsidR="001158E0">
        <w:t xml:space="preserve">conseiller </w:t>
      </w:r>
      <w:r w:rsidR="00E946D9">
        <w:t>le Safran</w:t>
      </w:r>
      <w:r w:rsidR="001158E0">
        <w:t>.</w:t>
      </w:r>
      <w:r w:rsidR="007E151F">
        <w:t xml:space="preserve"> </w:t>
      </w:r>
      <w:proofErr w:type="spellStart"/>
      <w:r w:rsidR="007E151F">
        <w:t>Rhodiola</w:t>
      </w:r>
      <w:proofErr w:type="spellEnd"/>
      <w:r w:rsidR="007E151F">
        <w:t xml:space="preserve"> (stress chronique, </w:t>
      </w:r>
      <w:proofErr w:type="spellStart"/>
      <w:r w:rsidR="007E151F">
        <w:t>adapt</w:t>
      </w:r>
      <w:r w:rsidR="007F77DA">
        <w:t>ogène</w:t>
      </w:r>
      <w:proofErr w:type="spellEnd"/>
      <w:r w:rsidR="007F77DA">
        <w:t xml:space="preserve">), </w:t>
      </w:r>
      <w:proofErr w:type="spellStart"/>
      <w:r w:rsidR="007F77DA">
        <w:t>Euléthérocoque</w:t>
      </w:r>
      <w:proofErr w:type="spellEnd"/>
      <w:r w:rsidR="007F77DA">
        <w:t xml:space="preserve"> (plante pour les efforts physiques. </w:t>
      </w:r>
    </w:p>
    <w:p w14:paraId="481AD59A" w14:textId="0154BD1A" w:rsidR="006A7051" w:rsidRDefault="006A7051">
      <w:pPr>
        <w:spacing w:before="200"/>
      </w:pPr>
      <w:r>
        <w:t xml:space="preserve">Éviter les </w:t>
      </w:r>
      <w:proofErr w:type="spellStart"/>
      <w:r w:rsidR="00705370">
        <w:t>exauceurs</w:t>
      </w:r>
      <w:proofErr w:type="spellEnd"/>
      <w:r>
        <w:t xml:space="preserve"> de goût comme le glutamate. </w:t>
      </w:r>
      <w:r w:rsidR="00705370">
        <w:t>Mettre en place les techniques de méditation très douce qui vont apaiser le mental</w:t>
      </w:r>
      <w:r w:rsidR="002A0149">
        <w:t>.</w:t>
      </w:r>
    </w:p>
    <w:p w14:paraId="2E4A801C" w14:textId="68F219CF" w:rsidR="00D467BB" w:rsidRDefault="00DE3B0D">
      <w:pPr>
        <w:spacing w:before="200"/>
      </w:pPr>
      <w:r>
        <w:lastRenderedPageBreak/>
        <w:t>Patrick DROUOT respiratio</w:t>
      </w:r>
      <w:r w:rsidR="008400B9">
        <w:t xml:space="preserve">n cardiaque. </w:t>
      </w:r>
      <w:proofErr w:type="spellStart"/>
      <w:r w:rsidR="008400B9">
        <w:t>Hear</w:t>
      </w:r>
      <w:r w:rsidR="007E151F">
        <w:t>tmath</w:t>
      </w:r>
      <w:proofErr w:type="spellEnd"/>
      <w:r w:rsidR="007E151F">
        <w:t xml:space="preserve">. </w:t>
      </w:r>
      <w:r w:rsidR="007B1EC6">
        <w:t>Céci</w:t>
      </w:r>
      <w:r w:rsidR="00BA4DAE">
        <w:t xml:space="preserve">le </w:t>
      </w:r>
      <w:proofErr w:type="spellStart"/>
      <w:r w:rsidR="00BA4DAE">
        <w:t>Ellert</w:t>
      </w:r>
      <w:proofErr w:type="spellEnd"/>
      <w:r w:rsidR="00BA4DAE">
        <w:t xml:space="preserve"> (club équilibre naturel)</w:t>
      </w:r>
    </w:p>
    <w:p w14:paraId="088BE981" w14:textId="52EE33DB" w:rsidR="00D467BB" w:rsidRDefault="009A360E">
      <w:pPr>
        <w:spacing w:before="200"/>
      </w:pPr>
      <w:proofErr w:type="spellStart"/>
      <w:r>
        <w:t>Wiki</w:t>
      </w:r>
      <w:r w:rsidR="006E021E">
        <w:t>phyto</w:t>
      </w:r>
      <w:proofErr w:type="spellEnd"/>
      <w:r w:rsidR="006E021E">
        <w:t xml:space="preserve"> pour consulter les HÉ.</w:t>
      </w:r>
    </w:p>
    <w:p w14:paraId="11105A28" w14:textId="77777777" w:rsidR="00D467BB" w:rsidRDefault="00D467BB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4FD5BCE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4A4214" w14:textId="0203512D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>2 — TROUBLE PHOBIQUE</w:t>
            </w:r>
            <w:r w:rsidR="007F656D"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 xml:space="preserve"> </w:t>
            </w:r>
          </w:p>
        </w:tc>
      </w:tr>
    </w:tbl>
    <w:p w14:paraId="55BDAAC3" w14:textId="77777777" w:rsidR="00FD5263" w:rsidRDefault="00FD526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654BB71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4CCC6F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Définition &amp; Formes cliniques</w:t>
            </w:r>
          </w:p>
        </w:tc>
      </w:tr>
    </w:tbl>
    <w:p w14:paraId="24BC7F85" w14:textId="77777777" w:rsidR="00FD5263" w:rsidRDefault="00FD526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7"/>
        <w:gridCol w:w="6023"/>
      </w:tblGrid>
      <w:tr w:rsidR="00FD5263" w14:paraId="1443682A" w14:textId="77777777">
        <w:tc>
          <w:tcPr>
            <w:tcW w:w="0" w:type="auto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4DCB1" w14:textId="77777777" w:rsidR="00FD5263" w:rsidRDefault="006E021E">
            <w:r>
              <w:rPr>
                <w:rFonts w:ascii="Book Antiqua" w:eastAsia="Book Antiqua" w:hAnsi="Book Antiqua" w:cs="Book Antiqua"/>
              </w:rPr>
              <w:t>Phobie : peur très intense, irrationnelle et souvent incontrôlable d'un objet ou d'une situation donnée, source de souffrance intense, d'anticipation anxieuse et de conduite d'évitement.</w:t>
            </w:r>
          </w:p>
        </w:tc>
      </w:tr>
      <w:tr w:rsidR="00FD5263" w14:paraId="00696E0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FE274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Phobie spécifique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F7C1F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Peur limitée à un seul objet ou situation particulière (« peur brute »)</w:t>
            </w:r>
          </w:p>
        </w:tc>
      </w:tr>
      <w:tr w:rsidR="00FD5263" w14:paraId="2BADC2D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EE84B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Phobie sociale (anxiété sociale)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278B6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Peur d'agir de façon embarrassante ou humiliante sous le regard d'autrui</w:t>
            </w:r>
          </w:p>
        </w:tc>
      </w:tr>
    </w:tbl>
    <w:p w14:paraId="4417D0EC" w14:textId="77777777" w:rsidR="00FD5263" w:rsidRDefault="00FD526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6171A8C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B6D762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Sémiologie comparée</w:t>
            </w:r>
          </w:p>
        </w:tc>
      </w:tr>
    </w:tbl>
    <w:p w14:paraId="60650D38" w14:textId="77777777" w:rsidR="00FD5263" w:rsidRDefault="00FD526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FD5263" w14:paraId="654D563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91442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Caractéristique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AE592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Phobie spécifique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5D15A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Phobie sociale</w:t>
            </w:r>
          </w:p>
        </w:tc>
      </w:tr>
      <w:tr w:rsidR="00FD5263" w14:paraId="6AA60B6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0703D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Déclencheur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EB737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Présence, contact, vue ou évocation de l'objet unique redouté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797C3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Regard/jugement d'autrui, situations sociales multiples</w:t>
            </w:r>
          </w:p>
        </w:tc>
      </w:tr>
      <w:tr w:rsidR="00FD5263" w14:paraId="189A593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12A89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Symptômes physiques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9D715" w14:textId="54B399A6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AP</w:t>
            </w:r>
            <w:r w:rsidR="00A5758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(attaque de panique</w:t>
            </w:r>
            <w:r w:rsidR="005C3CAC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)</w:t>
            </w:r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possible en présence de l'objet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D307F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Tachycardie, rougeurs, polypnée, tremblements, sueurs → AP extrême</w:t>
            </w:r>
          </w:p>
        </w:tc>
      </w:tr>
      <w:tr w:rsidR="00FD5263" w14:paraId="7C7E6C9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E88F2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Évitement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89B8E" w14:textId="357B47FF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Comportement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contraphobique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hypervigilance</w:t>
            </w:r>
            <w:proofErr w:type="spellEnd"/>
            <w:r w:rsidR="007C338F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anxieuse dans l’idée de la confrontation.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48926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Évitements multiples des situations sociales</w:t>
            </w:r>
          </w:p>
        </w:tc>
      </w:tr>
      <w:tr w:rsidR="00FD5263" w14:paraId="0BA6BEE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8CB61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Anxiété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anticipatoire</w:t>
            </w:r>
            <w:proofErr w:type="spellEnd"/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EF8B7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Disparaît en l'absence de l'objet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87253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Présente avant chaque situation sociale</w:t>
            </w:r>
          </w:p>
        </w:tc>
      </w:tr>
      <w:tr w:rsidR="00FD5263" w14:paraId="4F9F972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79624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Distorsion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7A936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Peur disproportionnée à la menace réelle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3570E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Schémas cognitifs pathologiques (biais cognitifs)</w:t>
            </w:r>
          </w:p>
        </w:tc>
      </w:tr>
    </w:tbl>
    <w:p w14:paraId="38761EDD" w14:textId="77777777" w:rsidR="00FD5263" w:rsidRDefault="00FD526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372DB22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8AD582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Épidémiologie</w:t>
            </w:r>
          </w:p>
        </w:tc>
      </w:tr>
    </w:tbl>
    <w:p w14:paraId="6F190292" w14:textId="77777777" w:rsidR="00FD5263" w:rsidRDefault="00FD526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D5263" w14:paraId="1ADDEA4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48AE9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Phobie spécifique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1C776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Prévalence vie entière : 10 à 12 %</w:t>
            </w:r>
          </w:p>
        </w:tc>
      </w:tr>
      <w:tr w:rsidR="00FD5263" w14:paraId="04D1132C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0D180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Phobie sociale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1E813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Prévalence vie entière : 5 %</w:t>
            </w:r>
          </w:p>
        </w:tc>
      </w:tr>
      <w:tr w:rsidR="00FD5263" w14:paraId="77EEB36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93288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Comorbidités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48A69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50 à 80 % : autres troubles anxieux, dépression, abus d'alcool, troubles sexuels</w:t>
            </w:r>
          </w:p>
        </w:tc>
      </w:tr>
      <w:tr w:rsidR="00FD5263" w14:paraId="591B770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5B81C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Précession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4D27B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La phobie sociale précède généralement ses comorbidités dans le temps</w:t>
            </w:r>
          </w:p>
        </w:tc>
      </w:tr>
    </w:tbl>
    <w:p w14:paraId="0DB1FFD1" w14:textId="77777777" w:rsidR="00FD5263" w:rsidRDefault="00FD5263">
      <w:pPr>
        <w:spacing w:before="120"/>
      </w:pPr>
    </w:p>
    <w:p w14:paraId="53CDB3EB" w14:textId="77777777" w:rsidR="005C3CAC" w:rsidRDefault="005C3CAC">
      <w:pPr>
        <w:spacing w:before="120"/>
      </w:pPr>
    </w:p>
    <w:p w14:paraId="5800FB86" w14:textId="77777777" w:rsidR="005C3CAC" w:rsidRDefault="005C3CAC">
      <w:pPr>
        <w:spacing w:before="120"/>
      </w:pPr>
    </w:p>
    <w:p w14:paraId="74115FDC" w14:textId="77777777" w:rsidR="005C3CAC" w:rsidRDefault="005C3CAC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703ACDC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0AFB837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lastRenderedPageBreak/>
              <w:t>Physiopathologie &amp; Déclenchement</w:t>
            </w:r>
          </w:p>
        </w:tc>
      </w:tr>
    </w:tbl>
    <w:p w14:paraId="1AF617AE" w14:textId="68449F85" w:rsidR="00FD5263" w:rsidRDefault="00FD526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D5263" w14:paraId="1F4D58C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723EF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Facteurs de vulnérabilité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A6ABB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Transmission génétique 30-50 % ; style éducatif dénigrant ou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surprotecteur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; faible estime de soi, perfectionnisme</w:t>
            </w:r>
          </w:p>
        </w:tc>
      </w:tr>
      <w:tr w:rsidR="00FD5263" w14:paraId="397F3C3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3CA1E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Événements déclenchants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DDC75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Expérience négative vécue dans circonstances particulières</w:t>
            </w:r>
          </w:p>
        </w:tc>
      </w:tr>
      <w:tr w:rsidR="00FD5263" w14:paraId="7F42B23F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5B6F0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Facteurs de persistance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7EE6D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Cercle vicieux de la peur, comportement d'évitement</w:t>
            </w:r>
          </w:p>
        </w:tc>
      </w:tr>
      <w:tr w:rsidR="00FD5263" w14:paraId="3306695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D153F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Facteurs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neurobiologiques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4DD31" w14:textId="77777777" w:rsidR="00FD5263" w:rsidRDefault="006E021E"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Hyperactivation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amygdale et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insula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(anxiété sociale, phobies spécifiques)</w:t>
            </w:r>
          </w:p>
        </w:tc>
      </w:tr>
    </w:tbl>
    <w:p w14:paraId="1803B521" w14:textId="236FAEC0" w:rsidR="00FD5263" w:rsidRDefault="00FD5263">
      <w:pPr>
        <w:spacing w:before="80"/>
      </w:pPr>
    </w:p>
    <w:p w14:paraId="61485EE5" w14:textId="1C864AE7" w:rsidR="00FD5263" w:rsidRDefault="001F032C">
      <w:pPr>
        <w:spacing w:after="40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7809662" wp14:editId="3D1199AD">
            <wp:simplePos x="0" y="0"/>
            <wp:positionH relativeFrom="column">
              <wp:posOffset>1341321</wp:posOffset>
            </wp:positionH>
            <wp:positionV relativeFrom="paragraph">
              <wp:posOffset>263138</wp:posOffset>
            </wp:positionV>
            <wp:extent cx="4215130" cy="1960245"/>
            <wp:effectExtent l="0" t="0" r="1270" b="0"/>
            <wp:wrapTopAndBottom/>
            <wp:docPr id="3092589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58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513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021E">
        <w:rPr>
          <w:rFonts w:ascii="Book Antiqua" w:eastAsia="Book Antiqua" w:hAnsi="Book Antiqua" w:cs="Book Antiqua"/>
          <w:b/>
          <w:bCs/>
          <w:color w:val="1F3864"/>
        </w:rPr>
        <w:t xml:space="preserve">Continuum : </w:t>
      </w:r>
    </w:p>
    <w:p w14:paraId="306D61F7" w14:textId="62C78D58" w:rsidR="00FD5263" w:rsidRDefault="00FD526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079D8F7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F541459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Évolution</w:t>
            </w:r>
          </w:p>
        </w:tc>
      </w:tr>
    </w:tbl>
    <w:p w14:paraId="4294DEA8" w14:textId="77777777" w:rsidR="00FD5263" w:rsidRDefault="00FD526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D5263" w14:paraId="5D1C652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EAF7E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Phobie spécifique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F5428" w14:textId="22A3085A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Apparition enfance/adolescence → disparition ou atténuation à l'âge adulte ; chronique si persistance</w:t>
            </w:r>
            <w:r w:rsidR="00E25091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à l’âge adulte.</w:t>
            </w:r>
          </w:p>
        </w:tc>
      </w:tr>
      <w:tr w:rsidR="00FD5263" w14:paraId="6812E92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0CB0E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Phobie sociale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A9BAD" w14:textId="008B63B5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Début 10-20 ans, insidieux ou brutal</w:t>
            </w:r>
            <w:r w:rsidR="00212746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conséquence d’une expérie</w:t>
            </w:r>
            <w:r w:rsidR="00CD6995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nce stressante ou humiliante</w:t>
            </w:r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→ évolution chronique ; risque principal : retentissement </w:t>
            </w:r>
            <w:r w:rsidR="00212746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sur l’insertion </w:t>
            </w:r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socio-professionnel</w:t>
            </w:r>
          </w:p>
        </w:tc>
      </w:tr>
    </w:tbl>
    <w:p w14:paraId="38885F6E" w14:textId="77777777" w:rsidR="00FD5263" w:rsidRDefault="00FD526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407C0F98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2C1D101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Prise en charge</w:t>
            </w:r>
          </w:p>
        </w:tc>
      </w:tr>
    </w:tbl>
    <w:p w14:paraId="726F1A33" w14:textId="77777777" w:rsidR="00FD5263" w:rsidRDefault="00FD526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1"/>
        <w:gridCol w:w="5259"/>
      </w:tblGrid>
      <w:tr w:rsidR="00FD5263" w14:paraId="24D3088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D0A85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Pharmacologique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94AAF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Non pharmacologique</w:t>
            </w:r>
          </w:p>
        </w:tc>
      </w:tr>
      <w:tr w:rsidR="00FD5263" w14:paraId="5468DD2C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AB433" w14:textId="77777777" w:rsidR="00FD5263" w:rsidRDefault="006E021E">
            <w:pPr>
              <w:spacing w:before="20" w:after="20"/>
            </w:pPr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Formes sévères (fond) :</w:t>
            </w:r>
          </w:p>
          <w:p w14:paraId="02DFF939" w14:textId="77777777" w:rsidR="00FD5263" w:rsidRDefault="006E021E">
            <w:pPr>
              <w:pStyle w:val="Paragraphedeliste"/>
              <w:numPr>
                <w:ilvl w:val="0"/>
                <w:numId w:val="3"/>
              </w:numPr>
              <w:spacing w:before="10" w:after="10"/>
            </w:pP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Paroxétine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Deroxat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>®) 20-50 mg/j</w:t>
            </w:r>
          </w:p>
          <w:p w14:paraId="6568BA60" w14:textId="77777777" w:rsidR="00FD5263" w:rsidRDefault="006E021E">
            <w:pPr>
              <w:pStyle w:val="Paragraphedeliste"/>
              <w:numPr>
                <w:ilvl w:val="0"/>
                <w:numId w:val="3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Sertraline (Zoloft®) 50-200 mg/j</w:t>
            </w:r>
          </w:p>
          <w:p w14:paraId="7DC2D754" w14:textId="77777777" w:rsidR="00FD5263" w:rsidRDefault="006E021E">
            <w:pPr>
              <w:pStyle w:val="Paragraphedeliste"/>
              <w:numPr>
                <w:ilvl w:val="0"/>
                <w:numId w:val="3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Escitalopram (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Cipralex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>®) 10-20 mg/j</w:t>
            </w:r>
          </w:p>
          <w:p w14:paraId="36CBBC49" w14:textId="77777777" w:rsidR="00FD5263" w:rsidRDefault="006E021E">
            <w:pPr>
              <w:pStyle w:val="Paragraphedeliste"/>
              <w:numPr>
                <w:ilvl w:val="0"/>
                <w:numId w:val="3"/>
              </w:numPr>
              <w:spacing w:before="10" w:after="10"/>
            </w:pP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Moclobémide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Aurorix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>®) 300-600 mg/j</w:t>
            </w:r>
          </w:p>
          <w:p w14:paraId="4102FF48" w14:textId="77777777" w:rsidR="00FD5263" w:rsidRDefault="006E021E">
            <w:pPr>
              <w:pStyle w:val="Paragraphedeliste"/>
              <w:numPr>
                <w:ilvl w:val="0"/>
                <w:numId w:val="3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Venlafaxine (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Efexor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>®) 75-225 mg/j</w:t>
            </w:r>
          </w:p>
          <w:p w14:paraId="6EC80AA8" w14:textId="77777777" w:rsidR="00116E37" w:rsidRDefault="006E021E">
            <w:pPr>
              <w:spacing w:before="20" w:after="20"/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</w:pP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lastRenderedPageBreak/>
              <w:t>Benzodiazépines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 : traitement aigu et limité</w:t>
            </w:r>
            <w:r w:rsidR="00A43657" w:rsidRPr="00A43657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3CA9E821" wp14:editId="5D3B1A6B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160020</wp:posOffset>
                  </wp:positionV>
                  <wp:extent cx="2426335" cy="1963420"/>
                  <wp:effectExtent l="0" t="0" r="0" b="5080"/>
                  <wp:wrapTopAndBottom/>
                  <wp:docPr id="126120497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2049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335" cy="196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25571"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. </w:t>
            </w:r>
          </w:p>
          <w:p w14:paraId="2018B1B9" w14:textId="77777777" w:rsidR="00221CFE" w:rsidRDefault="00C25571">
            <w:pPr>
              <w:spacing w:before="20" w:after="20"/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Les dépressions c’est une </w:t>
            </w:r>
            <w:r w:rsidR="00FD37CF"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faible quantité de sérotonine, donc ralentissement. </w:t>
            </w:r>
          </w:p>
          <w:p w14:paraId="2B0840ED" w14:textId="62DF003B" w:rsidR="00C25571" w:rsidRPr="00244695" w:rsidRDefault="00F27FC3">
            <w:pPr>
              <w:spacing w:before="20" w:after="20"/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</w:pPr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IRS : </w:t>
            </w:r>
            <w:r w:rsidR="005E3905"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Inhibiteurs sont là pour éviter la </w:t>
            </w:r>
            <w:proofErr w:type="spellStart"/>
            <w:r w:rsidR="005E3905"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recapture</w:t>
            </w:r>
            <w:proofErr w:type="spellEnd"/>
            <w:r w:rsidR="005E3905"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 et le retour vers </w:t>
            </w:r>
            <w:r w:rsidR="000B7B12"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les neurones</w:t>
            </w:r>
            <w:r w:rsidR="005E3905"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 </w:t>
            </w:r>
            <w:r w:rsidR="000B7B12"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Pré-synaptiques.</w:t>
            </w:r>
            <w:r w:rsidR="003354AB"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 Les IMAO : élimine la </w:t>
            </w:r>
            <w:r w:rsidR="00E4106F"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dégradation enzymatique, donc + de sérotonine dans la fente synaptique. 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FA0C8" w14:textId="77777777" w:rsidR="00FD5263" w:rsidRDefault="006E021E">
            <w:pPr>
              <w:spacing w:after="10"/>
            </w:pPr>
            <w:r>
              <w:rPr>
                <w:rFonts w:ascii="Book Antiqua" w:eastAsia="Book Antiqua" w:hAnsi="Book Antiqua" w:cs="Book Antiqua"/>
                <w:b/>
                <w:bCs/>
                <w:color w:val="E8825A"/>
                <w:sz w:val="19"/>
                <w:szCs w:val="19"/>
              </w:rPr>
              <w:lastRenderedPageBreak/>
              <w:t>⚠ La psychothérapie débute après réponse pharmacologique</w:t>
            </w:r>
          </w:p>
          <w:p w14:paraId="4AB80CF2" w14:textId="77777777" w:rsidR="00FD5263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>TCC : expositions en situations réelles, correction des biais cognitifs → 90 % de succès</w:t>
            </w:r>
          </w:p>
          <w:p w14:paraId="11D57629" w14:textId="77777777" w:rsidR="00FD5263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>Psychothérapie interpersonnelle</w:t>
            </w:r>
          </w:p>
          <w:p w14:paraId="4522B8FE" w14:textId="77777777" w:rsidR="00FD5263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Hypnothérapie</w:t>
            </w:r>
            <w:proofErr w:type="spellEnd"/>
          </w:p>
          <w:p w14:paraId="601FC7A8" w14:textId="77777777" w:rsidR="00FD5263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>Relaxation musculaire progressive</w:t>
            </w:r>
          </w:p>
          <w:p w14:paraId="3E3B5AA3" w14:textId="77777777" w:rsidR="00FD5263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>Méditation pleine conscience (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mindfulness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>)</w:t>
            </w:r>
          </w:p>
          <w:p w14:paraId="0610FA8E" w14:textId="3D1154F4" w:rsidR="00FD5263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>Sophrologie</w:t>
            </w:r>
          </w:p>
        </w:tc>
      </w:tr>
    </w:tbl>
    <w:p w14:paraId="55F9B4AE" w14:textId="77777777" w:rsidR="00FD5263" w:rsidRDefault="00FD526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65B5188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7954CED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 xml:space="preserve">Apports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naturopathiques</w:t>
            </w:r>
            <w:proofErr w:type="spellEnd"/>
          </w:p>
        </w:tc>
      </w:tr>
    </w:tbl>
    <w:p w14:paraId="6F7A0918" w14:textId="77777777" w:rsidR="00FD5263" w:rsidRDefault="00FD5263">
      <w:pPr>
        <w:spacing w:before="60"/>
      </w:pPr>
    </w:p>
    <w:tbl>
      <w:tblPr>
        <w:tblW w:w="9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7"/>
        <w:gridCol w:w="4560"/>
      </w:tblGrid>
      <w:tr w:rsidR="007D56D8" w14:paraId="0FD4A3EA" w14:textId="77777777" w:rsidTr="007D56D8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BBDB4" w14:textId="77777777" w:rsidR="007D56D8" w:rsidRDefault="007D56D8">
            <w:pPr>
              <w:jc w:val="center"/>
            </w:pP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Phytologie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97018" w14:textId="77777777" w:rsidR="007D56D8" w:rsidRDefault="007D56D8">
            <w:pPr>
              <w:jc w:val="center"/>
            </w:pP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Aromatologie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 xml:space="preserve"> (agitation/excitation)</w:t>
            </w:r>
          </w:p>
        </w:tc>
      </w:tr>
      <w:tr w:rsidR="007D56D8" w14:paraId="357CF4DC" w14:textId="77777777" w:rsidTr="007D56D8">
        <w:tc>
          <w:tcPr>
            <w:tcW w:w="44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860DC" w14:textId="2F38E95D" w:rsidR="007D56D8" w:rsidRDefault="00D61D07" w:rsidP="00366241">
            <w:pPr>
              <w:spacing w:before="15" w:after="15"/>
            </w:pPr>
            <w:r w:rsidRPr="00D61D07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355D633C" wp14:editId="74923B1D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1391285</wp:posOffset>
                  </wp:positionV>
                  <wp:extent cx="2481580" cy="3005455"/>
                  <wp:effectExtent l="0" t="0" r="0" b="4445"/>
                  <wp:wrapTopAndBottom/>
                  <wp:docPr id="100711683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116837" name="Image 100711683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1580" cy="300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D56D8" w:rsidRPr="00366241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24FCCC14" wp14:editId="3F596690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7620</wp:posOffset>
                  </wp:positionV>
                  <wp:extent cx="2671445" cy="1215390"/>
                  <wp:effectExtent l="0" t="0" r="0" b="3810"/>
                  <wp:wrapTopAndBottom/>
                  <wp:docPr id="154416987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1698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445" cy="121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88F99" w14:textId="24A69C8D" w:rsidR="007D56D8" w:rsidRDefault="007D56D8">
            <w:pPr>
              <w:spacing w:before="10" w:after="10"/>
            </w:pPr>
            <w:r>
              <w:rPr>
                <w:rFonts w:ascii="Book Antiqua" w:eastAsia="Book Antiqua" w:hAnsi="Book Antiqua" w:cs="Book Antiqua"/>
                <w:b/>
                <w:bCs/>
                <w:sz w:val="18"/>
                <w:szCs w:val="18"/>
              </w:rPr>
              <w:t>Mélange sur plexus solaire ou poignets (3-4 gouttes, à répéter) :</w:t>
            </w:r>
          </w:p>
          <w:p w14:paraId="5739927C" w14:textId="397703CB" w:rsidR="007D56D8" w:rsidRDefault="007D56D8">
            <w:pPr>
              <w:pStyle w:val="Paragraphedeliste"/>
              <w:numPr>
                <w:ilvl w:val="0"/>
                <w:numId w:val="3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>HECT Petit grain bigarade : 2 ml</w:t>
            </w:r>
          </w:p>
          <w:p w14:paraId="56B577D6" w14:textId="5463371D" w:rsidR="007D56D8" w:rsidRDefault="007D56D8">
            <w:pPr>
              <w:pStyle w:val="Paragraphedeliste"/>
              <w:numPr>
                <w:ilvl w:val="0"/>
                <w:numId w:val="3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HECT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Néroli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: 0,5 ml</w:t>
            </w:r>
          </w:p>
          <w:p w14:paraId="0AC32FF3" w14:textId="19D6664C" w:rsidR="007D56D8" w:rsidRDefault="007D56D8">
            <w:pPr>
              <w:pStyle w:val="Paragraphedeliste"/>
              <w:numPr>
                <w:ilvl w:val="0"/>
                <w:numId w:val="3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HECT </w:t>
            </w:r>
            <w:proofErr w:type="spellStart"/>
            <w:r>
              <w:rPr>
                <w:rFonts w:ascii="Book Antiqua" w:eastAsia="Book Antiqua" w:hAnsi="Book Antiqua" w:cs="Book Antiqua"/>
                <w:sz w:val="18"/>
                <w:szCs w:val="18"/>
              </w:rPr>
              <w:t>Yuzu</w:t>
            </w:r>
            <w:proofErr w:type="spellEnd"/>
            <w:r>
              <w:rPr>
                <w:rFonts w:ascii="Book Antiqua" w:eastAsia="Book Antiqua" w:hAnsi="Book Antiqua" w:cs="Book Antiqua"/>
                <w:sz w:val="18"/>
                <w:szCs w:val="18"/>
              </w:rPr>
              <w:t xml:space="preserve"> : 1 ml</w:t>
            </w:r>
          </w:p>
          <w:p w14:paraId="3B4E3E95" w14:textId="6F899695" w:rsidR="007D56D8" w:rsidRPr="00D11C64" w:rsidRDefault="00E41C9F">
            <w:pPr>
              <w:pStyle w:val="Paragraphedeliste"/>
              <w:numPr>
                <w:ilvl w:val="0"/>
                <w:numId w:val="3"/>
              </w:numPr>
              <w:spacing w:before="10" w:after="10"/>
            </w:pPr>
            <w:r w:rsidRPr="00E41C9F">
              <w:rPr>
                <w:rFonts w:ascii="Book Antiqua" w:eastAsia="Book Antiqua" w:hAnsi="Book Antiqua" w:cs="Book Antiqua"/>
                <w:noProof/>
                <w:sz w:val="18"/>
                <w:szCs w:val="18"/>
              </w:rPr>
              <w:drawing>
                <wp:anchor distT="0" distB="0" distL="114300" distR="114300" simplePos="0" relativeHeight="251680768" behindDoc="0" locked="0" layoutInCell="1" allowOverlap="1" wp14:anchorId="002A1BEC" wp14:editId="45E9BB86">
                  <wp:simplePos x="0" y="0"/>
                  <wp:positionH relativeFrom="column">
                    <wp:posOffset>244415</wp:posOffset>
                  </wp:positionH>
                  <wp:positionV relativeFrom="paragraph">
                    <wp:posOffset>149225</wp:posOffset>
                  </wp:positionV>
                  <wp:extent cx="2228850" cy="1237615"/>
                  <wp:effectExtent l="0" t="0" r="6350" b="0"/>
                  <wp:wrapTopAndBottom/>
                  <wp:docPr id="196364220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64220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23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D56D8">
              <w:rPr>
                <w:rFonts w:ascii="Book Antiqua" w:eastAsia="Book Antiqua" w:hAnsi="Book Antiqua" w:cs="Book Antiqua"/>
                <w:sz w:val="18"/>
                <w:szCs w:val="18"/>
              </w:rPr>
              <w:t>HV Noyaux d'abricot : 6,5 ml</w:t>
            </w:r>
          </w:p>
          <w:p w14:paraId="7D1343A2" w14:textId="0C62D09D" w:rsidR="00D11C64" w:rsidRDefault="00AB69A2" w:rsidP="00AB69A2">
            <w:pPr>
              <w:spacing w:before="10" w:after="10"/>
              <w:ind w:left="620"/>
            </w:pPr>
            <w:r w:rsidRPr="00AB69A2">
              <w:rPr>
                <w:rFonts w:eastAsia="Book Antiqua"/>
                <w:noProof/>
              </w:rPr>
              <w:drawing>
                <wp:anchor distT="0" distB="0" distL="114300" distR="114300" simplePos="0" relativeHeight="251684864" behindDoc="0" locked="0" layoutInCell="1" allowOverlap="1" wp14:anchorId="0DBC8226" wp14:editId="0ABCEA64">
                  <wp:simplePos x="0" y="0"/>
                  <wp:positionH relativeFrom="column">
                    <wp:posOffset>105193</wp:posOffset>
                  </wp:positionH>
                  <wp:positionV relativeFrom="paragraph">
                    <wp:posOffset>1500484</wp:posOffset>
                  </wp:positionV>
                  <wp:extent cx="2280920" cy="1567815"/>
                  <wp:effectExtent l="0" t="0" r="5080" b="0"/>
                  <wp:wrapTopAndBottom/>
                  <wp:docPr id="128928326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28326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920" cy="156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DCA1CF5" w14:textId="07A8827C" w:rsidR="00FF7234" w:rsidRDefault="00FF7234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60ED1A8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D802B8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>3 — TROUBLE OBSESSIONNEL COMPULSIF (TOC)</w:t>
            </w:r>
          </w:p>
        </w:tc>
      </w:tr>
    </w:tbl>
    <w:p w14:paraId="03202E33" w14:textId="77777777" w:rsidR="00FD5263" w:rsidRDefault="00FD526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00F9F42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4991CFE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Définition &amp; Épidémiologie</w:t>
            </w:r>
          </w:p>
        </w:tc>
      </w:tr>
    </w:tbl>
    <w:p w14:paraId="101919CB" w14:textId="77777777" w:rsidR="00FD5263" w:rsidRDefault="00FD526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D5263" w14:paraId="33C007A3" w14:textId="77777777">
        <w:tc>
          <w:tcPr>
            <w:tcW w:w="0" w:type="auto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F3C7B" w14:textId="78F3027E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</w:rPr>
              <w:t xml:space="preserve">TOC : </w:t>
            </w:r>
            <w:r>
              <w:rPr>
                <w:rFonts w:ascii="Book Antiqua" w:eastAsia="Book Antiqua" w:hAnsi="Book Antiqua" w:cs="Book Antiqua"/>
              </w:rPr>
              <w:t xml:space="preserve">trouble fréquent associant des </w:t>
            </w:r>
            <w:r>
              <w:rPr>
                <w:rFonts w:ascii="Book Antiqua" w:eastAsia="Book Antiqua" w:hAnsi="Book Antiqua" w:cs="Book Antiqua"/>
                <w:b/>
                <w:bCs/>
                <w:color w:val="E8825A"/>
              </w:rPr>
              <w:t>obsessions</w:t>
            </w:r>
            <w:r>
              <w:rPr>
                <w:rFonts w:ascii="Book Antiqua" w:eastAsia="Book Antiqua" w:hAnsi="Book Antiqua" w:cs="Book Antiqua"/>
              </w:rPr>
              <w:t xml:space="preserve"> et/ou des </w:t>
            </w:r>
            <w:r>
              <w:rPr>
                <w:rFonts w:ascii="Book Antiqua" w:eastAsia="Book Antiqua" w:hAnsi="Book Antiqua" w:cs="Book Antiqua"/>
                <w:b/>
                <w:bCs/>
                <w:color w:val="E8825A"/>
              </w:rPr>
              <w:t>compulsions.</w:t>
            </w:r>
            <w:r w:rsidR="0057702D">
              <w:rPr>
                <w:rFonts w:ascii="Book Antiqua" w:eastAsia="Book Antiqua" w:hAnsi="Book Antiqua" w:cs="Book Antiqua"/>
                <w:b/>
                <w:bCs/>
                <w:color w:val="E8825A"/>
              </w:rPr>
              <w:t xml:space="preserve"> </w:t>
            </w:r>
            <w:r w:rsidR="00E4275B">
              <w:rPr>
                <w:rFonts w:ascii="Book Antiqua" w:eastAsia="Book Antiqua" w:hAnsi="Book Antiqua" w:cs="Book Antiqua"/>
                <w:b/>
                <w:bCs/>
                <w:color w:val="E8825A"/>
              </w:rPr>
              <w:t>Le surmoi qui domine.</w:t>
            </w:r>
          </w:p>
        </w:tc>
      </w:tr>
      <w:tr w:rsidR="00FD5263" w14:paraId="64226F5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1C098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Prévalence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672E5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2 à 3 % sur la vie entière – 4ème pathologie psychiatrique la plus invalidante</w:t>
            </w:r>
          </w:p>
        </w:tc>
      </w:tr>
      <w:tr w:rsidR="00FD5263" w14:paraId="09EECEC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646A2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Âge de début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06927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Avant 25 ans dans 65 % des cas ; dans l'enfance dans 1/3 des cas</w:t>
            </w:r>
          </w:p>
        </w:tc>
      </w:tr>
      <w:tr w:rsidR="00FD5263" w14:paraId="03AC8857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F07A0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Comorbidités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54577A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&gt; 65 % ont un autre trouble psychiatrique (anxiété, humeur, dépression, bipolaire)</w:t>
            </w:r>
          </w:p>
        </w:tc>
      </w:tr>
    </w:tbl>
    <w:p w14:paraId="0CF71ABF" w14:textId="77777777" w:rsidR="00FD5263" w:rsidRDefault="00FD526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1BF7167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C9BA25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Sémiologie : Obsessions, Compulsions, Rituels</w:t>
            </w:r>
          </w:p>
        </w:tc>
      </w:tr>
    </w:tbl>
    <w:p w14:paraId="7125211A" w14:textId="77777777" w:rsidR="00FD5263" w:rsidRDefault="00FD526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D5263" w14:paraId="681C722F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3CECB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Obsessions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10E3F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Pensées, pulsions, images intrusives et inappropriées, récurrentes et persistantes, source d'anxiété → techniques d'évitement ou compulsions</w:t>
            </w:r>
          </w:p>
        </w:tc>
      </w:tr>
      <w:tr w:rsidR="00FD5263" w14:paraId="7C0F6E7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5531C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Compulsions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23170" w14:textId="60EC09E3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Comportements répétitifs ou actes mentaux imposés</w:t>
            </w:r>
            <w:r w:rsidR="00AD40B0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(</w:t>
            </w:r>
            <w:r w:rsidR="00E61DF5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c’est plus fort que moi)</w:t>
            </w:r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, destinés à neutraliser la détresse ou empêcher un événement redouté – pas de plaisir au-delà du soulagement</w:t>
            </w:r>
          </w:p>
        </w:tc>
      </w:tr>
      <w:tr w:rsidR="00FD5263" w14:paraId="63B47E7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E2186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Rituels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8FE66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Compulsions rigides et stéréotypées à caractère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conjuratoire</w:t>
            </w:r>
            <w:proofErr w:type="spellEnd"/>
          </w:p>
        </w:tc>
      </w:tr>
      <w:tr w:rsidR="00FD5263" w14:paraId="0F85D45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4C5B2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Évitement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0FA0F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Comportements d'évitement des situations favorisant l'émergence des TOC</w:t>
            </w:r>
          </w:p>
        </w:tc>
      </w:tr>
    </w:tbl>
    <w:p w14:paraId="1C30AF22" w14:textId="77777777" w:rsidR="00FD5263" w:rsidRDefault="00FD526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3862C60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BB5970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Formes thématiques (3 grands thèmes)</w:t>
            </w:r>
          </w:p>
        </w:tc>
      </w:tr>
    </w:tbl>
    <w:p w14:paraId="4052BD33" w14:textId="77777777" w:rsidR="00FD5263" w:rsidRDefault="00FD526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FD5263" w14:paraId="53797FD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12724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Thème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77336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Obsessions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CB9E02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Compulsions</w:t>
            </w:r>
          </w:p>
        </w:tc>
      </w:tr>
      <w:tr w:rsidR="00FD5263" w14:paraId="39F2433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9BE54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Contamination (Les laveurs)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7A650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Contamination, saleté, maladie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40009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Rituels de lavage et d'évitement</w:t>
            </w:r>
          </w:p>
        </w:tc>
      </w:tr>
      <w:tr w:rsidR="00FD5263" w14:paraId="04352CF8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98F0B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Erreur (Les vérificateurs)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14859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Ordre, symétrie, exactitude, pensée magique, catastrophe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176BD" w14:textId="2C2C538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Compulsions</w:t>
            </w:r>
            <w:r w:rsidR="00023A9D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 : </w:t>
            </w:r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rituels de vérification</w:t>
            </w:r>
            <w:r w:rsidR="00023A9D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(porte bien fermée, </w:t>
            </w:r>
            <w:r w:rsidR="00691BFB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gaz coupé)</w:t>
            </w:r>
          </w:p>
        </w:tc>
      </w:tr>
      <w:tr w:rsidR="00FD5263" w14:paraId="5FDE5EE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AE6B0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Pensées interdites (Les conjurateurs)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09114" w14:textId="176CC598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Pensées agressives, sexuelles, religieuses, somatiques</w:t>
            </w:r>
            <w:r w:rsidR="00691BFB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(dévoiler une partie de leur corps)</w:t>
            </w:r>
          </w:p>
        </w:tc>
        <w:tc>
          <w:tcPr>
            <w:tcW w:w="3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A8D5F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Rituels mentaux et vérifications pour « conjurer » l'obsession</w:t>
            </w:r>
          </w:p>
        </w:tc>
      </w:tr>
    </w:tbl>
    <w:p w14:paraId="70ECE68A" w14:textId="77777777" w:rsidR="00FD5263" w:rsidRDefault="00FD526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1EF8AC6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5535AB" w14:textId="508332BA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Physiopathologie</w:t>
            </w:r>
            <w:r w:rsidR="00D24A3B"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</w:tr>
    </w:tbl>
    <w:p w14:paraId="44FB9A21" w14:textId="77777777" w:rsidR="00FD5263" w:rsidRDefault="00FD526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D5263" w14:paraId="607AB5F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4B73D" w14:textId="12E91A7C" w:rsidR="00FD5263" w:rsidRDefault="00AE729C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Facteurs </w:t>
            </w:r>
            <w:r w:rsidR="006E021E"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Génétiques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64B11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Modèle polygénique du TOC (polymorphisme génétique)</w:t>
            </w:r>
          </w:p>
        </w:tc>
      </w:tr>
      <w:tr w:rsidR="00FD5263" w14:paraId="63995EEF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315E6" w14:textId="353D1C06" w:rsidR="00FD5263" w:rsidRDefault="001A31F2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Facteurs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Neurobiologiques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 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345D0" w14:textId="77777777" w:rsidR="0029129D" w:rsidRDefault="006E021E">
            <w:pP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Altérations cortex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orbitofrontal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et cortex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cingulaire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antérieur </w:t>
            </w:r>
            <w:r w:rsidR="0029129D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(transfert des sensations)</w:t>
            </w:r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; </w:t>
            </w:r>
          </w:p>
          <w:p w14:paraId="1FD9E81D" w14:textId="77777777" w:rsidR="0029129D" w:rsidRDefault="0029129D">
            <w:pP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D</w:t>
            </w:r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ysfonctionnement circuit </w:t>
            </w:r>
            <w:proofErr w:type="spellStart"/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orbito-fronto-striato</w:t>
            </w:r>
            <w:proofErr w:type="spellEnd"/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-</w:t>
            </w:r>
            <w:proofErr w:type="spellStart"/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thalamocortical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(boucles)</w:t>
            </w:r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; </w:t>
            </w:r>
          </w:p>
          <w:p w14:paraId="318C049A" w14:textId="48E094E2" w:rsidR="00FD5263" w:rsidRDefault="0029129D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lastRenderedPageBreak/>
              <w:t>I</w:t>
            </w:r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mplication 5-HT</w:t>
            </w:r>
            <w:r w:rsidR="00893A82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(sérotonine)</w:t>
            </w:r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, Glutamate, Dopamine, </w:t>
            </w:r>
            <w:proofErr w:type="spellStart"/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ACh</w:t>
            </w:r>
            <w:proofErr w:type="spellEnd"/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, </w:t>
            </w:r>
            <w:proofErr w:type="spellStart"/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opioïdes</w:t>
            </w:r>
            <w:proofErr w:type="spellEnd"/>
            <w:r w:rsidR="006E021E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, GABA, substance P</w:t>
            </w:r>
            <w:r w:rsidR="00893A82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(pain en anglais : douleur)</w:t>
            </w:r>
          </w:p>
        </w:tc>
      </w:tr>
      <w:tr w:rsidR="00FD5263" w14:paraId="23E844D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BF29C" w14:textId="5A1FA5D3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lastRenderedPageBreak/>
              <w:t>Rôle du NST</w:t>
            </w:r>
            <w:r w:rsidR="00185AD8"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 (Noyau sous thalamique)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21C5F" w14:textId="77777777" w:rsidR="00FD5263" w:rsidRDefault="006E021E">
            <w:pP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</w:pPr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Noyau sous-thalamique : « seuil décisionnel » →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hyperactivité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= compulsions pour obtenir l'info nécessaire ; dysfonctionnement = comportement répétitif ; doute cortical = vérifications apaisantes</w:t>
            </w:r>
            <w:r w:rsidR="00F62D54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.</w:t>
            </w:r>
          </w:p>
          <w:p w14:paraId="49F700D8" w14:textId="32DD7034" w:rsidR="00F62D54" w:rsidRDefault="00F62D54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Circuit normal qui passe par </w:t>
            </w:r>
            <w:r w:rsidR="00F803BA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différentes structures</w:t>
            </w:r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et </w:t>
            </w:r>
            <w:r w:rsidR="00F803BA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différents programmes : il y a un seuil de déclenchement qui fait que l’on passe à l’action ou non. Chez certaines pers il y a un </w:t>
            </w:r>
            <w:proofErr w:type="spellStart"/>
            <w:r w:rsidR="00F803BA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pb</w:t>
            </w:r>
            <w:proofErr w:type="spellEnd"/>
            <w:r w:rsidR="00F803BA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dans le circuit</w:t>
            </w:r>
          </w:p>
        </w:tc>
      </w:tr>
      <w:tr w:rsidR="00FD5263" w14:paraId="39995F01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50AC7" w14:textId="35E1F4F9" w:rsidR="00FD5263" w:rsidRDefault="00223072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Facteurs </w:t>
            </w:r>
            <w:r w:rsidR="006E021E"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Environnementaux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9B29A4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Maltraitance, stress, style parental</w:t>
            </w:r>
          </w:p>
        </w:tc>
      </w:tr>
    </w:tbl>
    <w:p w14:paraId="4BDE8EE4" w14:textId="77777777" w:rsidR="00FD5263" w:rsidRDefault="00FD526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491B7BA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41C9F64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Évolution &amp; Complications</w:t>
            </w:r>
          </w:p>
        </w:tc>
      </w:tr>
    </w:tbl>
    <w:p w14:paraId="3E634B3F" w14:textId="77777777" w:rsidR="00FD5263" w:rsidRDefault="00FD526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D5263" w14:paraId="79D1306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A95B8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Évolution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E618E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Maladie chronique ; sentiment de honte → retard de diagnostic</w:t>
            </w:r>
          </w:p>
        </w:tc>
      </w:tr>
      <w:tr w:rsidR="00FD5263" w14:paraId="0766CAF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B73AC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Chez l'enfant/ado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17AF5" w14:textId="38B1423A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Souvent associés à : troubles anxieux, humeur, conduites alimentaires (anorexie), tics</w:t>
            </w:r>
            <w:r w:rsidR="00562DF9"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chronique : </w:t>
            </w:r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syndrome de Gilles de la Tourette, troubles du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neurodéveloppement</w:t>
            </w:r>
            <w:proofErr w:type="spellEnd"/>
          </w:p>
        </w:tc>
      </w:tr>
      <w:tr w:rsidR="00FD5263" w14:paraId="5858792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45366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Dépression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802D59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Complication très fréquente</w:t>
            </w:r>
          </w:p>
        </w:tc>
      </w:tr>
      <w:tr w:rsidR="00FD5263" w14:paraId="188B3E1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C0A55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Addictions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537D2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Complication fréquente</w:t>
            </w:r>
          </w:p>
        </w:tc>
      </w:tr>
      <w:tr w:rsidR="00FD5263" w14:paraId="2C6F8C7D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8F6A8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Risque suicidaire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B54C4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Tentative de suicide dans 10 % des cas</w:t>
            </w:r>
          </w:p>
        </w:tc>
      </w:tr>
    </w:tbl>
    <w:p w14:paraId="4E6D7478" w14:textId="77777777" w:rsidR="00FD5263" w:rsidRDefault="00FD526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7AF2816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1A105C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Prise en charge</w:t>
            </w:r>
          </w:p>
        </w:tc>
      </w:tr>
    </w:tbl>
    <w:p w14:paraId="445BEA92" w14:textId="77777777" w:rsidR="00FD5263" w:rsidRDefault="00FD5263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FD5263" w14:paraId="3189C80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2B0E4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Pharmacologique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8EA1A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 xml:space="preserve">Approche intégrative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naturopathique</w:t>
            </w:r>
            <w:proofErr w:type="spellEnd"/>
          </w:p>
        </w:tc>
      </w:tr>
      <w:tr w:rsidR="00FD5263" w14:paraId="145C959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B938E" w14:textId="77777777" w:rsidR="00FD5263" w:rsidRDefault="006E021E">
            <w:p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IRS / Antidépresseurs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tricycliques</w:t>
            </w:r>
            <w:proofErr w:type="spellEnd"/>
          </w:p>
          <w:p w14:paraId="55E86E59" w14:textId="77777777" w:rsidR="00FD5263" w:rsidRDefault="006E021E">
            <w:pPr>
              <w:spacing w:before="10" w:after="10"/>
            </w:pP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Rispéridone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(antagoniste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dopaminergique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>)</w:t>
            </w:r>
          </w:p>
          <w:p w14:paraId="50DE3C46" w14:textId="77777777" w:rsidR="00FD5263" w:rsidRDefault="006E021E">
            <w:pPr>
              <w:spacing w:before="10" w:after="10"/>
            </w:pP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Antiglutamatergiques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riluzole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mémantine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>)</w:t>
            </w:r>
          </w:p>
          <w:p w14:paraId="78BB3180" w14:textId="77777777" w:rsidR="00FD5263" w:rsidRDefault="006E021E">
            <w:pPr>
              <w:spacing w:before="10" w:after="10"/>
            </w:pPr>
            <w:r>
              <w:rPr>
                <w:rFonts w:ascii="Book Antiqua" w:eastAsia="Book Antiqua" w:hAnsi="Book Antiqua" w:cs="Book Antiqua"/>
                <w:b/>
                <w:bCs/>
                <w:sz w:val="19"/>
                <w:szCs w:val="19"/>
              </w:rPr>
              <w:t>+ TCC</w:t>
            </w:r>
          </w:p>
          <w:p w14:paraId="4067072B" w14:textId="77777777" w:rsidR="00FD5263" w:rsidRDefault="006E021E">
            <w:pPr>
              <w:spacing w:before="20" w:after="10"/>
            </w:pPr>
            <w:r>
              <w:rPr>
                <w:rFonts w:ascii="Book Antiqua" w:eastAsia="Book Antiqua" w:hAnsi="Book Antiqua" w:cs="Book Antiqua"/>
                <w:color w:val="E8825A"/>
                <w:sz w:val="18"/>
                <w:szCs w:val="18"/>
              </w:rPr>
              <w:t>⚠ Symptômes persistants chez ~1/3 des patients malgré traitement combiné</w:t>
            </w:r>
          </w:p>
          <w:p w14:paraId="4B8AC646" w14:textId="55F87641" w:rsidR="00FD5263" w:rsidRDefault="00FB712A">
            <w:p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>Traitement Neuroch</w:t>
            </w:r>
            <w:r w:rsidR="00E872A9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irurgicale: </w:t>
            </w:r>
            <w:r w:rsidR="006E021E">
              <w:rPr>
                <w:rFonts w:ascii="Book Antiqua" w:eastAsia="Book Antiqua" w:hAnsi="Book Antiqua" w:cs="Book Antiqua"/>
                <w:sz w:val="19"/>
                <w:szCs w:val="19"/>
              </w:rPr>
              <w:t>Stimulation cérébrale profonde (cas réfractaires)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55A7A" w14:textId="77777777" w:rsidR="00FD5263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>Programme des 4R</w:t>
            </w:r>
          </w:p>
          <w:p w14:paraId="6ACCB523" w14:textId="77777777" w:rsidR="00FD5263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Phytologie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: plantes majeures de l'anxiété et des troubles fonctionnels</w:t>
            </w:r>
          </w:p>
          <w:p w14:paraId="4A4DF01B" w14:textId="6041B7F5" w:rsidR="00FD5263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Alimentation anti-stress, anti-inflammatoire + </w:t>
            </w:r>
            <w:proofErr w:type="spellStart"/>
            <w:r>
              <w:rPr>
                <w:rFonts w:ascii="Book Antiqua" w:eastAsia="Book Antiqua" w:hAnsi="Book Antiqua" w:cs="Book Antiqua"/>
                <w:sz w:val="19"/>
                <w:szCs w:val="19"/>
              </w:rPr>
              <w:t>complémentation</w:t>
            </w:r>
            <w:proofErr w:type="spellEnd"/>
            <w:r>
              <w:rPr>
                <w:rFonts w:ascii="Book Antiqua" w:eastAsia="Book Antiqua" w:hAnsi="Book Antiqua" w:cs="Book Antiqua"/>
                <w:sz w:val="19"/>
                <w:szCs w:val="19"/>
              </w:rPr>
              <w:t xml:space="preserve"> (</w:t>
            </w:r>
            <w:r w:rsidR="00802C9A">
              <w:rPr>
                <w:rFonts w:ascii="Book Antiqua" w:eastAsia="Book Antiqua" w:hAnsi="Book Antiqua" w:cs="Book Antiqua"/>
                <w:sz w:val="19"/>
                <w:szCs w:val="19"/>
              </w:rPr>
              <w:t xml:space="preserve">co-facteurs : </w:t>
            </w:r>
            <w:r>
              <w:rPr>
                <w:rFonts w:ascii="Book Antiqua" w:eastAsia="Book Antiqua" w:hAnsi="Book Antiqua" w:cs="Book Antiqua"/>
                <w:sz w:val="19"/>
                <w:szCs w:val="19"/>
              </w:rPr>
              <w:t>vitamines, minéraux, O</w:t>
            </w:r>
            <w:r w:rsidR="00A31588">
              <w:rPr>
                <w:rFonts w:ascii="Book Antiqua" w:eastAsia="Book Antiqua" w:hAnsi="Book Antiqua" w:cs="Book Antiqua"/>
                <w:sz w:val="19"/>
                <w:szCs w:val="19"/>
              </w:rPr>
              <w:t>ligo-Élément</w:t>
            </w:r>
            <w:r>
              <w:rPr>
                <w:rFonts w:ascii="Book Antiqua" w:eastAsia="Book Antiqua" w:hAnsi="Book Antiqua" w:cs="Book Antiqua"/>
                <w:sz w:val="19"/>
                <w:szCs w:val="19"/>
              </w:rPr>
              <w:t>, antioxydants)</w:t>
            </w:r>
          </w:p>
          <w:p w14:paraId="2B012755" w14:textId="77777777" w:rsidR="00FD5263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>TCC : démarche psychologique et éducative</w:t>
            </w:r>
          </w:p>
          <w:p w14:paraId="664EB474" w14:textId="77777777" w:rsidR="00FD5263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>Gestion du stress et de l'anxiété</w:t>
            </w:r>
          </w:p>
          <w:p w14:paraId="746DB867" w14:textId="77777777" w:rsidR="00FD5263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>Techniques de relaxation : sophrologie, TAS, cohérence cardiaque</w:t>
            </w:r>
          </w:p>
          <w:p w14:paraId="304847B2" w14:textId="192A9DC4" w:rsidR="00FD5263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>Régulation émotionnelle par la pleine conscience</w:t>
            </w:r>
            <w:r w:rsidR="00A31588">
              <w:rPr>
                <w:rFonts w:ascii="Book Antiqua" w:eastAsia="Book Antiqua" w:hAnsi="Book Antiqua" w:cs="Book Antiqua"/>
                <w:sz w:val="19"/>
                <w:szCs w:val="19"/>
              </w:rPr>
              <w:t>.</w:t>
            </w:r>
          </w:p>
          <w:p w14:paraId="5FF3504D" w14:textId="77777777" w:rsidR="00FD5263" w:rsidRDefault="006E021E">
            <w:pPr>
              <w:pStyle w:val="Paragraphedeliste"/>
              <w:numPr>
                <w:ilvl w:val="0"/>
                <w:numId w:val="2"/>
              </w:numPr>
              <w:spacing w:before="10" w:after="10"/>
            </w:pPr>
            <w:r>
              <w:rPr>
                <w:rFonts w:ascii="Book Antiqua" w:eastAsia="Book Antiqua" w:hAnsi="Book Antiqua" w:cs="Book Antiqua"/>
                <w:sz w:val="19"/>
                <w:szCs w:val="19"/>
              </w:rPr>
              <w:t>Activités physiques douces : yoga, stretching, Tai Chi</w:t>
            </w:r>
          </w:p>
        </w:tc>
      </w:tr>
    </w:tbl>
    <w:p w14:paraId="3EE429E9" w14:textId="77777777" w:rsidR="00FD5263" w:rsidRDefault="00FD5263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7A574A1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2897E0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>SYNTHÈSE — Réseaux cérébraux des troubles anxieux</w:t>
            </w:r>
          </w:p>
        </w:tc>
      </w:tr>
    </w:tbl>
    <w:p w14:paraId="01C2F6EE" w14:textId="77777777" w:rsidR="00FD5263" w:rsidRDefault="00FD526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2"/>
        <w:gridCol w:w="5678"/>
      </w:tblGrid>
      <w:tr w:rsidR="00FD5263" w14:paraId="0791DD39" w14:textId="77777777">
        <w:tc>
          <w:tcPr>
            <w:tcW w:w="0" w:type="auto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7CB60" w14:textId="77777777" w:rsidR="00FD5263" w:rsidRDefault="006E021E">
            <w:r>
              <w:rPr>
                <w:rFonts w:ascii="Book Antiqua" w:eastAsia="Book Antiqua" w:hAnsi="Book Antiqua" w:cs="Book Antiqua"/>
              </w:rPr>
              <w:t xml:space="preserve">La </w:t>
            </w:r>
            <w:proofErr w:type="spellStart"/>
            <w:r>
              <w:rPr>
                <w:rFonts w:ascii="Book Antiqua" w:eastAsia="Book Antiqua" w:hAnsi="Book Antiqua" w:cs="Book Antiqua"/>
              </w:rPr>
              <w:t>pathogenèse</w:t>
            </w:r>
            <w:proofErr w:type="spellEnd"/>
            <w:r>
              <w:rPr>
                <w:rFonts w:ascii="Book Antiqua" w:eastAsia="Book Antiqua" w:hAnsi="Book Antiqua" w:cs="Book Antiqua"/>
              </w:rPr>
              <w:t xml:space="preserve"> des troubles mentaux (dépression, schizophrénie, anxiété, autisme) implique : altérations des fonctions émotionnelles/sociales, anomalies des circuits cérébraux fonctionnels, variations de réponses associées à des états </w:t>
            </w:r>
            <w:proofErr w:type="spellStart"/>
            <w:r>
              <w:rPr>
                <w:rFonts w:ascii="Book Antiqua" w:eastAsia="Book Antiqua" w:hAnsi="Book Antiqua" w:cs="Book Antiqua"/>
              </w:rPr>
              <w:t>précliniques</w:t>
            </w:r>
            <w:proofErr w:type="spellEnd"/>
            <w:r>
              <w:rPr>
                <w:rFonts w:ascii="Book Antiqua" w:eastAsia="Book Antiqua" w:hAnsi="Book Antiqua" w:cs="Book Antiqua"/>
              </w:rPr>
              <w:t xml:space="preserve"> ou génétiques.</w:t>
            </w:r>
          </w:p>
        </w:tc>
      </w:tr>
      <w:tr w:rsidR="00FD5263" w14:paraId="14A0981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098CC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Amygdale (AMG)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2695B" w14:textId="77777777" w:rsidR="00FD5263" w:rsidRDefault="006E021E"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Hyperactivation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: anxiété sociale, phobies spécifiques (AMG +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insula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). Régulation par CPFVM et CCA.</w:t>
            </w:r>
          </w:p>
        </w:tc>
      </w:tr>
      <w:tr w:rsidR="00FD5263" w14:paraId="02C2070B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74E2B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lastRenderedPageBreak/>
              <w:t xml:space="preserve">Cortex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préfrontal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ventromédial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 (CPFVM)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EC114" w14:textId="77777777" w:rsidR="00FD5263" w:rsidRDefault="006E021E"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Hypoactivation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chez patients PTSD → défaut de régulation émotionnelle</w:t>
            </w:r>
          </w:p>
        </w:tc>
      </w:tr>
      <w:tr w:rsidR="00FD5263" w14:paraId="602270D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4DE53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Cortex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cingulaire</w:t>
            </w:r>
            <w:proofErr w:type="spellEnd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 antérieur (CCA)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2123D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CCAd et CCAr impliqués différemment selon le type de trouble anxieux</w:t>
            </w:r>
          </w:p>
        </w:tc>
      </w:tr>
      <w:tr w:rsidR="00FD5263" w14:paraId="4DFD14F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001A3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 xml:space="preserve">Circuit </w:t>
            </w:r>
            <w:proofErr w:type="spellStart"/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orbito-fronto-striatal</w:t>
            </w:r>
            <w:proofErr w:type="spellEnd"/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B84A9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Dysfonctionnement central dans le TOC (NST,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globus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pallidus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striatum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, cortex)</w:t>
            </w:r>
          </w:p>
        </w:tc>
      </w:tr>
      <w:tr w:rsidR="00FD5263" w14:paraId="35A6608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961AF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9"/>
                <w:szCs w:val="19"/>
              </w:rPr>
              <w:t>Neurotransmetteurs clés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51AEA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GABA (inhibition) ↓ ;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Noradrénaline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 xml:space="preserve"> ↑ (locus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cœruleus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9"/>
                <w:szCs w:val="19"/>
              </w:rPr>
              <w:t>) ; Sérotonine (5-HT) ; Glutamate ; Dopamine</w:t>
            </w:r>
          </w:p>
        </w:tc>
      </w:tr>
    </w:tbl>
    <w:p w14:paraId="4AD1A7A1" w14:textId="77777777" w:rsidR="00FD5263" w:rsidRDefault="00FD5263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D5263" w14:paraId="1782370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18B91B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  <w:sz w:val="26"/>
                <w:szCs w:val="26"/>
              </w:rPr>
              <w:t>TABLEAU COMPARATIF SYNTHÉTIQUE</w:t>
            </w:r>
          </w:p>
        </w:tc>
      </w:tr>
    </w:tbl>
    <w:p w14:paraId="798692F5" w14:textId="77777777" w:rsidR="00FD5263" w:rsidRDefault="00FD526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FD5263" w14:paraId="0524FD00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0CBC6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</w:rPr>
              <w:t xml:space="preserve"> 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562DB2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Trouble Panique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A59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3B312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Trouble Phobique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9963A" w14:textId="77777777" w:rsidR="00FD5263" w:rsidRDefault="006E021E">
            <w:pPr>
              <w:jc w:val="center"/>
            </w:pPr>
            <w:r>
              <w:rPr>
                <w:rFonts w:ascii="Book Antiqua" w:eastAsia="Book Antiqua" w:hAnsi="Book Antiqua" w:cs="Book Antiqua"/>
                <w:b/>
                <w:bCs/>
                <w:color w:val="FFFFFF"/>
              </w:rPr>
              <w:t>TOC</w:t>
            </w:r>
          </w:p>
        </w:tc>
      </w:tr>
      <w:tr w:rsidR="00FD5263" w14:paraId="130DA27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A98E0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8"/>
                <w:szCs w:val="18"/>
              </w:rPr>
              <w:t>Prévalence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7CC33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1-3 %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19FEA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10-12 % (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spéc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.) / 5 % (soc.)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09054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2-3 %</w:t>
            </w:r>
          </w:p>
        </w:tc>
      </w:tr>
      <w:tr w:rsidR="00FD5263" w14:paraId="1BD1959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1E4856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8"/>
                <w:szCs w:val="18"/>
              </w:rPr>
              <w:t>Âge début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9B8F2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20-30 ans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9147A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Enfance/10-20 ans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349C3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Avant 25 ans (65 %)</w:t>
            </w:r>
          </w:p>
        </w:tc>
      </w:tr>
      <w:tr w:rsidR="00FD5263" w14:paraId="64DDD7C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44381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8"/>
                <w:szCs w:val="18"/>
              </w:rPr>
              <w:t>Mécanisme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E858D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AP + anxiété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anticipatoire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+ évitement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65C52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Peur conditionnée + évitement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0976D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Obsessions + compulsions</w:t>
            </w:r>
          </w:p>
        </w:tc>
      </w:tr>
      <w:tr w:rsidR="00FD5263" w14:paraId="28AD320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C13C9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8"/>
                <w:szCs w:val="18"/>
              </w:rPr>
              <w:t>Neurobiologie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FD0B9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Amygdale, locus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cœruleus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, ↓ GABA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726B7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AMG,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insula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hyperactivées</w:t>
            </w:r>
            <w:proofErr w:type="spellEnd"/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52EB1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 xml:space="preserve">Circuit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orbito-fronto-striatal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, ↓ 5-HT</w:t>
            </w:r>
          </w:p>
        </w:tc>
      </w:tr>
      <w:tr w:rsidR="00FD5263" w14:paraId="06ED1D8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E8E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484A5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8"/>
                <w:szCs w:val="18"/>
              </w:rPr>
              <w:t>Traitement 1er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16278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IRS + TCC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1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B55BC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ISRS + TCC (90 % succès)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A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4D35B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IRS + TCC</w:t>
            </w:r>
          </w:p>
        </w:tc>
      </w:tr>
      <w:tr w:rsidR="00FD5263" w14:paraId="2FA2F8E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2AB38" w14:textId="77777777" w:rsidR="00FD5263" w:rsidRDefault="006E021E">
            <w:r>
              <w:rPr>
                <w:rFonts w:ascii="Book Antiqua" w:eastAsia="Book Antiqua" w:hAnsi="Book Antiqua" w:cs="Book Antiqua"/>
                <w:b/>
                <w:bCs/>
                <w:color w:val="1F3864"/>
                <w:sz w:val="18"/>
                <w:szCs w:val="18"/>
              </w:rPr>
              <w:t>Complications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F61C2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Dépression (60-70 %), addictions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B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15FDDC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Insertion socio-pro.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8A51B" w14:textId="77777777" w:rsidR="00FD5263" w:rsidRDefault="006E021E">
            <w:r>
              <w:rPr>
                <w:rFonts w:ascii="Book Antiqua" w:eastAsia="Book Antiqua" w:hAnsi="Book Antiqua" w:cs="Book Antiqua"/>
                <w:color w:val="000000"/>
                <w:sz w:val="18"/>
                <w:szCs w:val="18"/>
              </w:rPr>
              <w:t>Dépression, suicide (10 %)</w:t>
            </w:r>
          </w:p>
        </w:tc>
      </w:tr>
    </w:tbl>
    <w:p w14:paraId="1A32E6DF" w14:textId="77777777" w:rsidR="00FD5263" w:rsidRDefault="00FD5263">
      <w:pPr>
        <w:spacing w:before="100"/>
      </w:pPr>
    </w:p>
    <w:sectPr w:rsidR="00FD5263" w:rsidSect="00F3501E">
      <w:headerReference w:type="default" r:id="rId17"/>
      <w:footerReference w:type="default" r:id="rId1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FD60C" w14:textId="77777777" w:rsidR="006E021E" w:rsidRDefault="006E021E">
      <w:r>
        <w:separator/>
      </w:r>
    </w:p>
  </w:endnote>
  <w:endnote w:type="continuationSeparator" w:id="0">
    <w:p w14:paraId="60469F83" w14:textId="77777777" w:rsidR="006E021E" w:rsidRDefault="006E0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B314C" w14:textId="77777777" w:rsidR="00FD5263" w:rsidRDefault="006E021E">
    <w:pPr>
      <w:jc w:val="center"/>
    </w:pPr>
    <w:r>
      <w:rPr>
        <w:rFonts w:ascii="Book Antiqua" w:eastAsia="Book Antiqua" w:hAnsi="Book Antiqua" w:cs="Book Antiqua"/>
        <w:color w:val="888888"/>
        <w:sz w:val="16"/>
        <w:szCs w:val="16"/>
      </w:rPr>
      <w:t xml:space="preserve">École de Santé Naturelle  •  Pascale Faivre  •  Page </w:t>
    </w:r>
    <w:r>
      <w:rPr>
        <w:rFonts w:ascii="Book Antiqua" w:eastAsia="Book Antiqua" w:hAnsi="Book Antiqua" w:cs="Book Antiqua"/>
        <w:color w:val="888888"/>
        <w:sz w:val="16"/>
        <w:szCs w:val="16"/>
      </w:rPr>
      <w:fldChar w:fldCharType="begin"/>
    </w:r>
    <w:r>
      <w:rPr>
        <w:rFonts w:ascii="Book Antiqua" w:eastAsia="Book Antiqua" w:hAnsi="Book Antiqua" w:cs="Book Antiqua"/>
        <w:color w:val="888888"/>
        <w:sz w:val="16"/>
        <w:szCs w:val="16"/>
      </w:rPr>
      <w:instrText>PAGE</w:instrText>
    </w:r>
    <w:r>
      <w:rPr>
        <w:rFonts w:ascii="Book Antiqua" w:eastAsia="Book Antiqua" w:hAnsi="Book Antiqua" w:cs="Book Antiqua"/>
        <w:color w:val="888888"/>
        <w:sz w:val="16"/>
        <w:szCs w:val="16"/>
      </w:rPr>
      <w:fldChar w:fldCharType="separate"/>
    </w:r>
    <w:r w:rsidR="0028541F">
      <w:rPr>
        <w:rFonts w:ascii="Book Antiqua" w:eastAsia="Book Antiqua" w:hAnsi="Book Antiqua" w:cs="Book Antiqua"/>
        <w:noProof/>
        <w:color w:val="888888"/>
        <w:sz w:val="16"/>
        <w:szCs w:val="16"/>
      </w:rPr>
      <w:t>1</w:t>
    </w:r>
    <w:r>
      <w:rPr>
        <w:rFonts w:ascii="Book Antiqua" w:eastAsia="Book Antiqua" w:hAnsi="Book Antiqua" w:cs="Book Antiqua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850A4" w14:textId="77777777" w:rsidR="006E021E" w:rsidRDefault="006E021E">
      <w:r>
        <w:separator/>
      </w:r>
    </w:p>
  </w:footnote>
  <w:footnote w:type="continuationSeparator" w:id="0">
    <w:p w14:paraId="705B785D" w14:textId="77777777" w:rsidR="006E021E" w:rsidRDefault="006E02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993"/>
      <w:gridCol w:w="2913"/>
    </w:tblGrid>
    <w:tr w:rsidR="00FD5263" w14:paraId="55F0586E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F3864"/>
          <w:tcMar>
            <w:top w:w="80" w:type="dxa"/>
            <w:left w:w="200" w:type="dxa"/>
            <w:bottom w:w="80" w:type="dxa"/>
            <w:right w:w="100" w:type="dxa"/>
          </w:tcMar>
        </w:tcPr>
        <w:p w14:paraId="25270672" w14:textId="77777777" w:rsidR="00FD5263" w:rsidRDefault="006E021E">
          <w:r>
            <w:rPr>
              <w:rFonts w:ascii="Book Antiqua" w:eastAsia="Book Antiqua" w:hAnsi="Book Antiqua" w:cs="Book Antiqua"/>
              <w:b/>
              <w:bCs/>
              <w:color w:val="FFFFFF"/>
              <w:sz w:val="18"/>
              <w:szCs w:val="18"/>
            </w:rPr>
            <w:t>FICHE DE RÉVISION – MODULE 6 | Hygiène Psycho-Émotionnelle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E8A598"/>
          <w:tcMar>
            <w:top w:w="80" w:type="dxa"/>
            <w:left w:w="100" w:type="dxa"/>
            <w:bottom w:w="80" w:type="dxa"/>
            <w:right w:w="200" w:type="dxa"/>
          </w:tcMar>
        </w:tcPr>
        <w:p w14:paraId="652EF816" w14:textId="77777777" w:rsidR="00FD5263" w:rsidRDefault="006E021E">
          <w:pPr>
            <w:jc w:val="right"/>
          </w:pPr>
          <w:r>
            <w:rPr>
              <w:rFonts w:ascii="Book Antiqua" w:eastAsia="Book Antiqua" w:hAnsi="Book Antiqua" w:cs="Book Antiqua"/>
              <w:b/>
              <w:bCs/>
              <w:color w:val="FFFFFF"/>
              <w:sz w:val="18"/>
              <w:szCs w:val="18"/>
            </w:rPr>
            <w:t>Troubles Anxieux &amp; TOCs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80B22"/>
    <w:multiLevelType w:val="hybridMultilevel"/>
    <w:tmpl w:val="FFFFFFFF"/>
    <w:lvl w:ilvl="0" w:tplc="81CAC1F0">
      <w:start w:val="1"/>
      <w:numFmt w:val="bullet"/>
      <w:lvlText w:val="●"/>
      <w:lvlJc w:val="left"/>
      <w:pPr>
        <w:ind w:left="720" w:hanging="360"/>
      </w:pPr>
    </w:lvl>
    <w:lvl w:ilvl="1" w:tplc="CAA0F16E">
      <w:start w:val="1"/>
      <w:numFmt w:val="bullet"/>
      <w:lvlText w:val="○"/>
      <w:lvlJc w:val="left"/>
      <w:pPr>
        <w:ind w:left="1440" w:hanging="360"/>
      </w:pPr>
    </w:lvl>
    <w:lvl w:ilvl="2" w:tplc="98E64E38">
      <w:start w:val="1"/>
      <w:numFmt w:val="bullet"/>
      <w:lvlText w:val="■"/>
      <w:lvlJc w:val="left"/>
      <w:pPr>
        <w:ind w:left="2160" w:hanging="360"/>
      </w:pPr>
    </w:lvl>
    <w:lvl w:ilvl="3" w:tplc="105283A0">
      <w:start w:val="1"/>
      <w:numFmt w:val="bullet"/>
      <w:lvlText w:val="●"/>
      <w:lvlJc w:val="left"/>
      <w:pPr>
        <w:ind w:left="2880" w:hanging="360"/>
      </w:pPr>
    </w:lvl>
    <w:lvl w:ilvl="4" w:tplc="3B4E8BF2">
      <w:start w:val="1"/>
      <w:numFmt w:val="bullet"/>
      <w:lvlText w:val="○"/>
      <w:lvlJc w:val="left"/>
      <w:pPr>
        <w:ind w:left="3600" w:hanging="360"/>
      </w:pPr>
    </w:lvl>
    <w:lvl w:ilvl="5" w:tplc="66320658">
      <w:start w:val="1"/>
      <w:numFmt w:val="bullet"/>
      <w:lvlText w:val="■"/>
      <w:lvlJc w:val="left"/>
      <w:pPr>
        <w:ind w:left="4320" w:hanging="360"/>
      </w:pPr>
    </w:lvl>
    <w:lvl w:ilvl="6" w:tplc="DAC8CFE8">
      <w:start w:val="1"/>
      <w:numFmt w:val="bullet"/>
      <w:lvlText w:val="●"/>
      <w:lvlJc w:val="left"/>
      <w:pPr>
        <w:ind w:left="5040" w:hanging="360"/>
      </w:pPr>
    </w:lvl>
    <w:lvl w:ilvl="7" w:tplc="A0C05EC0">
      <w:start w:val="1"/>
      <w:numFmt w:val="bullet"/>
      <w:lvlText w:val="●"/>
      <w:lvlJc w:val="left"/>
      <w:pPr>
        <w:ind w:left="5760" w:hanging="360"/>
      </w:pPr>
    </w:lvl>
    <w:lvl w:ilvl="8" w:tplc="75166F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9C48F0"/>
    <w:multiLevelType w:val="hybridMultilevel"/>
    <w:tmpl w:val="FFFFFFFF"/>
    <w:lvl w:ilvl="0" w:tplc="B92C605C">
      <w:start w:val="1"/>
      <w:numFmt w:val="bullet"/>
      <w:lvlText w:val="–"/>
      <w:lvlJc w:val="left"/>
      <w:pPr>
        <w:ind w:left="900" w:hanging="280"/>
      </w:pPr>
      <w:rPr>
        <w:rFonts w:ascii="Book Antiqua" w:eastAsia="Book Antiqua" w:hAnsi="Book Antiqua" w:cs="Book Antiqua"/>
        <w:color w:val="666666"/>
        <w:sz w:val="19"/>
        <w:szCs w:val="19"/>
      </w:rPr>
    </w:lvl>
    <w:lvl w:ilvl="1" w:tplc="32F8D344">
      <w:numFmt w:val="decimal"/>
      <w:lvlText w:val=""/>
      <w:lvlJc w:val="left"/>
    </w:lvl>
    <w:lvl w:ilvl="2" w:tplc="898C538C">
      <w:numFmt w:val="decimal"/>
      <w:lvlText w:val=""/>
      <w:lvlJc w:val="left"/>
    </w:lvl>
    <w:lvl w:ilvl="3" w:tplc="B560B526">
      <w:numFmt w:val="decimal"/>
      <w:lvlText w:val=""/>
      <w:lvlJc w:val="left"/>
    </w:lvl>
    <w:lvl w:ilvl="4" w:tplc="0F64AA92">
      <w:numFmt w:val="decimal"/>
      <w:lvlText w:val=""/>
      <w:lvlJc w:val="left"/>
    </w:lvl>
    <w:lvl w:ilvl="5" w:tplc="30A4782A">
      <w:numFmt w:val="decimal"/>
      <w:lvlText w:val=""/>
      <w:lvlJc w:val="left"/>
    </w:lvl>
    <w:lvl w:ilvl="6" w:tplc="6AA6DD56">
      <w:numFmt w:val="decimal"/>
      <w:lvlText w:val=""/>
      <w:lvlJc w:val="left"/>
    </w:lvl>
    <w:lvl w:ilvl="7" w:tplc="EECCA76E">
      <w:numFmt w:val="decimal"/>
      <w:lvlText w:val=""/>
      <w:lvlJc w:val="left"/>
    </w:lvl>
    <w:lvl w:ilvl="8" w:tplc="9A9CFDA8">
      <w:numFmt w:val="decimal"/>
      <w:lvlText w:val=""/>
      <w:lvlJc w:val="left"/>
    </w:lvl>
  </w:abstractNum>
  <w:abstractNum w:abstractNumId="2" w15:restartNumberingAfterBreak="0">
    <w:nsid w:val="7B8B4F8F"/>
    <w:multiLevelType w:val="hybridMultilevel"/>
    <w:tmpl w:val="FFFFFFFF"/>
    <w:lvl w:ilvl="0" w:tplc="C85290D0">
      <w:start w:val="1"/>
      <w:numFmt w:val="bullet"/>
      <w:lvlText w:val="•"/>
      <w:lvlJc w:val="left"/>
      <w:pPr>
        <w:ind w:left="560" w:hanging="280"/>
      </w:pPr>
      <w:rPr>
        <w:rFonts w:ascii="Book Antiqua" w:eastAsia="Book Antiqua" w:hAnsi="Book Antiqua" w:cs="Book Antiqua"/>
        <w:color w:val="E8825A"/>
        <w:sz w:val="20"/>
        <w:szCs w:val="20"/>
      </w:rPr>
    </w:lvl>
    <w:lvl w:ilvl="1" w:tplc="01D0C3DC">
      <w:numFmt w:val="decimal"/>
      <w:lvlText w:val=""/>
      <w:lvlJc w:val="left"/>
    </w:lvl>
    <w:lvl w:ilvl="2" w:tplc="52808B46">
      <w:numFmt w:val="decimal"/>
      <w:lvlText w:val=""/>
      <w:lvlJc w:val="left"/>
    </w:lvl>
    <w:lvl w:ilvl="3" w:tplc="8904C740">
      <w:numFmt w:val="decimal"/>
      <w:lvlText w:val=""/>
      <w:lvlJc w:val="left"/>
    </w:lvl>
    <w:lvl w:ilvl="4" w:tplc="6B24DB5C">
      <w:numFmt w:val="decimal"/>
      <w:lvlText w:val=""/>
      <w:lvlJc w:val="left"/>
    </w:lvl>
    <w:lvl w:ilvl="5" w:tplc="E8FEE846">
      <w:numFmt w:val="decimal"/>
      <w:lvlText w:val=""/>
      <w:lvlJc w:val="left"/>
    </w:lvl>
    <w:lvl w:ilvl="6" w:tplc="69FA2658">
      <w:numFmt w:val="decimal"/>
      <w:lvlText w:val=""/>
      <w:lvlJc w:val="left"/>
    </w:lvl>
    <w:lvl w:ilvl="7" w:tplc="72D605E2">
      <w:numFmt w:val="decimal"/>
      <w:lvlText w:val=""/>
      <w:lvlJc w:val="left"/>
    </w:lvl>
    <w:lvl w:ilvl="8" w:tplc="1AFA4E9A">
      <w:numFmt w:val="decimal"/>
      <w:lvlText w:val=""/>
      <w:lvlJc w:val="left"/>
    </w:lvl>
  </w:abstractNum>
  <w:num w:numId="1" w16cid:durableId="498621138">
    <w:abstractNumId w:val="0"/>
    <w:lvlOverride w:ilvl="0">
      <w:startOverride w:val="1"/>
    </w:lvlOverride>
  </w:num>
  <w:num w:numId="2" w16cid:durableId="1139495912">
    <w:abstractNumId w:val="2"/>
    <w:lvlOverride w:ilvl="0">
      <w:startOverride w:val="1"/>
    </w:lvlOverride>
  </w:num>
  <w:num w:numId="3" w16cid:durableId="4996574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263"/>
    <w:rsid w:val="0002317A"/>
    <w:rsid w:val="00023A9D"/>
    <w:rsid w:val="000B6959"/>
    <w:rsid w:val="000B7B12"/>
    <w:rsid w:val="000E1146"/>
    <w:rsid w:val="001158E0"/>
    <w:rsid w:val="00116E37"/>
    <w:rsid w:val="00131EB3"/>
    <w:rsid w:val="00136A01"/>
    <w:rsid w:val="00185AD8"/>
    <w:rsid w:val="001A31F2"/>
    <w:rsid w:val="001B2233"/>
    <w:rsid w:val="001F032C"/>
    <w:rsid w:val="001F7014"/>
    <w:rsid w:val="002014D9"/>
    <w:rsid w:val="002116FD"/>
    <w:rsid w:val="00212746"/>
    <w:rsid w:val="00221CFE"/>
    <w:rsid w:val="00223072"/>
    <w:rsid w:val="00244695"/>
    <w:rsid w:val="00251BB9"/>
    <w:rsid w:val="0027663B"/>
    <w:rsid w:val="0028541F"/>
    <w:rsid w:val="0029129D"/>
    <w:rsid w:val="00292F68"/>
    <w:rsid w:val="0029643D"/>
    <w:rsid w:val="002A0149"/>
    <w:rsid w:val="002B0818"/>
    <w:rsid w:val="002C3962"/>
    <w:rsid w:val="003354AB"/>
    <w:rsid w:val="00355691"/>
    <w:rsid w:val="00366241"/>
    <w:rsid w:val="00426690"/>
    <w:rsid w:val="004D4E3C"/>
    <w:rsid w:val="004D7588"/>
    <w:rsid w:val="00500FFC"/>
    <w:rsid w:val="00542774"/>
    <w:rsid w:val="00562DF9"/>
    <w:rsid w:val="0057702D"/>
    <w:rsid w:val="0059381E"/>
    <w:rsid w:val="005C3CAC"/>
    <w:rsid w:val="005E3905"/>
    <w:rsid w:val="006021AF"/>
    <w:rsid w:val="00634FDE"/>
    <w:rsid w:val="006365EF"/>
    <w:rsid w:val="00687A9D"/>
    <w:rsid w:val="00691BFB"/>
    <w:rsid w:val="006A7051"/>
    <w:rsid w:val="006D76FF"/>
    <w:rsid w:val="006D7EBD"/>
    <w:rsid w:val="006E021E"/>
    <w:rsid w:val="00705370"/>
    <w:rsid w:val="00710E4E"/>
    <w:rsid w:val="00786457"/>
    <w:rsid w:val="007B1EC6"/>
    <w:rsid w:val="007B1F18"/>
    <w:rsid w:val="007C338F"/>
    <w:rsid w:val="007D56D8"/>
    <w:rsid w:val="007E151F"/>
    <w:rsid w:val="007F656D"/>
    <w:rsid w:val="007F69C9"/>
    <w:rsid w:val="007F77DA"/>
    <w:rsid w:val="00802C9A"/>
    <w:rsid w:val="008126E3"/>
    <w:rsid w:val="008400B9"/>
    <w:rsid w:val="00883CC8"/>
    <w:rsid w:val="00893A82"/>
    <w:rsid w:val="008B4439"/>
    <w:rsid w:val="008F33CA"/>
    <w:rsid w:val="009124C5"/>
    <w:rsid w:val="009302FE"/>
    <w:rsid w:val="00931AE2"/>
    <w:rsid w:val="00970910"/>
    <w:rsid w:val="009A360E"/>
    <w:rsid w:val="009C05A4"/>
    <w:rsid w:val="009D2306"/>
    <w:rsid w:val="009F5CE8"/>
    <w:rsid w:val="00A31588"/>
    <w:rsid w:val="00A43657"/>
    <w:rsid w:val="00A5758E"/>
    <w:rsid w:val="00A64C44"/>
    <w:rsid w:val="00A8395C"/>
    <w:rsid w:val="00AA05EE"/>
    <w:rsid w:val="00AB69A2"/>
    <w:rsid w:val="00AD40B0"/>
    <w:rsid w:val="00AE729C"/>
    <w:rsid w:val="00B0484A"/>
    <w:rsid w:val="00B73D9A"/>
    <w:rsid w:val="00B7479C"/>
    <w:rsid w:val="00BA4DAE"/>
    <w:rsid w:val="00BA5D1E"/>
    <w:rsid w:val="00BE0710"/>
    <w:rsid w:val="00C164BD"/>
    <w:rsid w:val="00C25571"/>
    <w:rsid w:val="00C336CB"/>
    <w:rsid w:val="00C64AC4"/>
    <w:rsid w:val="00CB101C"/>
    <w:rsid w:val="00CB2426"/>
    <w:rsid w:val="00CD6995"/>
    <w:rsid w:val="00D11C64"/>
    <w:rsid w:val="00D24A3B"/>
    <w:rsid w:val="00D43103"/>
    <w:rsid w:val="00D467BB"/>
    <w:rsid w:val="00D61D07"/>
    <w:rsid w:val="00DC3FCD"/>
    <w:rsid w:val="00DC6300"/>
    <w:rsid w:val="00DD14E9"/>
    <w:rsid w:val="00DE3B0D"/>
    <w:rsid w:val="00DE40C0"/>
    <w:rsid w:val="00DE6B9B"/>
    <w:rsid w:val="00DF2414"/>
    <w:rsid w:val="00E25091"/>
    <w:rsid w:val="00E4106F"/>
    <w:rsid w:val="00E41C9F"/>
    <w:rsid w:val="00E4275B"/>
    <w:rsid w:val="00E61DF5"/>
    <w:rsid w:val="00E634A9"/>
    <w:rsid w:val="00E63DC3"/>
    <w:rsid w:val="00E872A9"/>
    <w:rsid w:val="00E946D9"/>
    <w:rsid w:val="00E95F35"/>
    <w:rsid w:val="00EA24E5"/>
    <w:rsid w:val="00ED720F"/>
    <w:rsid w:val="00F27FC3"/>
    <w:rsid w:val="00F3501E"/>
    <w:rsid w:val="00F62D54"/>
    <w:rsid w:val="00F803BA"/>
    <w:rsid w:val="00FB712A"/>
    <w:rsid w:val="00FD37CF"/>
    <w:rsid w:val="00FD5263"/>
    <w:rsid w:val="00FE008E"/>
    <w:rsid w:val="00FF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0AE227"/>
  <w15:docId w15:val="{56D14402-1701-5A41-AB93-A7086132E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2126</Words>
  <Characters>11694</Characters>
  <Application>Microsoft Office Word</Application>
  <DocSecurity>0</DocSecurity>
  <Lines>97</Lines>
  <Paragraphs>27</Paragraphs>
  <ScaleCrop>false</ScaleCrop>
  <Company/>
  <LinksUpToDate>false</LinksUpToDate>
  <CharactersWithSpaces>13793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2026-04-21T15:51:00Z</dcterms:created>
  <dcterms:modified xsi:type="dcterms:W3CDTF">2026-04-21T15:51:00Z</dcterms:modified>
</cp:coreProperties>
</file>