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</w:rPr>
        <w:t xml:space="preserve">RELATÓRIO DE ENQUADRAMENTO NIS2</w:t>
      </w:r>
    </w:p>
    <w:p>
      <w:pPr>
        <w:jc w:val="center"/>
      </w:pPr>
      <w:r>
        <w:rPr>
          <w:sz w:val="26"/>
        </w:rPr>
        <w:t xml:space="preserve">Decreto-Lei n.º 125/2025 — orientação preliminar</w:t>
      </w:r>
    </w:p>
    <w:p/>
    <w:p>
      <w:r>
        <w:rPr>
          <w:b/>
        </w:rPr>
        <w:t xml:space="preserve">Empresa: </w:t>
      </w:r>
      <w:r>
        <w:t xml:space="preserve">{empresa}</w:t>
      </w:r>
    </w:p>
    <w:p>
      <w:r>
        <w:rPr>
          <w:b/>
        </w:rPr>
        <w:t xml:space="preserve">Data: </w:t>
      </w:r>
      <w:r>
        <w:t xml:space="preserve">{data}</w:t>
      </w:r>
    </w:p>
    <w:p>
      <w:r>
        <w:rPr>
          <w:b/>
        </w:rPr>
        <w:t xml:space="preserve">Versão do motor: </w:t>
      </w:r>
      <w:r>
        <w:t xml:space="preserve">{engineVersion}</w:t>
      </w:r>
    </w:p>
    <w:p/>
    <w:p>
      <w:r>
        <w:rPr>
          <w:i/>
        </w:rPr>
        <w:t xml:space="preserve">AVISO: Este documento é uma orientação preliminar, não um veredicto jurídico nem uma qualificação oficial. A qualificação formal cabe ao CNCS (Art. 8.º do DL 125/2025). A emissão deste relatório não substitui o registo na plataforma MyCiber nem o aconselhamento jurídico.</w:t>
      </w:r>
    </w:p>
    <w:p/>
    <w:p>
      <w:r>
        <w:rPr>
          <w:b/>
          <w:sz w:val="28"/>
        </w:rPr>
        <w:t xml:space="preserve">1. Classificação</w:t>
      </w:r>
    </w:p>
    <w:p>
      <w:r>
        <w:rPr>
          <w:b/>
        </w:rPr>
        <w:t xml:space="preserve">Resultado: </w:t>
      </w:r>
      <w:r>
        <w:rPr>
          <w:b/>
        </w:rPr>
        <w:t xml:space="preserve">{classificacao}</w:t>
      </w:r>
    </w:p>
    <w:p>
      <w:r>
        <w:t xml:space="preserve">{resultLabel}</w:t>
      </w:r>
    </w:p>
    <w:p/>
    <w:p>
      <w:r>
        <w:rPr>
          <w:b/>
          <w:sz w:val="28"/>
        </w:rPr>
        <w:t xml:space="preserve">2. Como chegámos aqui — trilha auditável</w:t>
      </w:r>
    </w:p>
    <w:p>
      <w:r>
        <w:t xml:space="preserve">Cada passo cita o artigo legal que o fundamenta:</w:t>
      </w:r>
    </w:p>
    <w:p>
      <w:r>
        <w:t>{#steps}</w:t>
      </w:r>
    </w:p>
    <w:p>
      <w:r>
        <w:t xml:space="preserve">  • </w:t>
      </w:r>
      <w:r>
        <w:t>{label}</w:t>
      </w:r>
      <w:r>
        <w:t xml:space="preserve"> — </w:t>
      </w:r>
      <w:r>
        <w:t>{article}</w:t>
      </w:r>
    </w:p>
    <w:p>
      <w:r>
        <w:t>{/steps}</w:t>
      </w:r>
    </w:p>
    <w:p/>
    <w:p>
      <w:r>
        <w:rPr>
          <w:b/>
          <w:sz w:val="28"/>
        </w:rPr>
        <w:t xml:space="preserve">3. O que a lei já exige de si hoje</w:t>
      </w:r>
    </w:p>
    <w:p>
      <w:r>
        <w:t xml:space="preserve">Estas obrigações estão em vigor desde a publicação do Regulamento n.º 756/2026 (22 de junho de 2026). São de baixo esforço mas de alto risco se esquecidas — o incumprimento é já uma infração:</w:t>
      </w:r>
    </w:p>
    <w:p>
      <w:r>
        <w:t xml:space="preserve">  • Registo na plataforma MyCiber (myciber.gov.pt) — Art. 35.º do DL 125/2025.</w:t>
      </w:r>
    </w:p>
    <w:p>
      <w:r>
        <w:t xml:space="preserve">  • Designação de responsável de cibersegurança — Art. 31.º do DL 125/2025.</w:t>
      </w:r>
    </w:p>
    <w:p>
      <w:r>
        <w:t xml:space="preserve">  • Designação de ponto de contacto permanente com a CNCS — Art. 32.º do DL 125/2025.</w:t>
      </w:r>
    </w:p>
    <w:p>
      <w:r>
        <w:t xml:space="preserve">  • Ativação do canal de notificação de incidentes significativos — Art. 40.º do DL 125/2025.</w:t>
      </w:r>
    </w:p>
    <w:p/>
    <w:p>
      <w:r>
        <w:rPr>
          <w:b/>
          <w:sz w:val="28"/>
        </w:rPr>
        <w:t xml:space="preserve">4. O que terá de estar pronto até ~junho de 2028</w:t>
      </w:r>
    </w:p>
    <w:p>
      <w:r>
        <w:t xml:space="preserve">As medidas de gestão de risco de cibersegurança (Art. 27.º a 30.º do DL 125/2025) têm um período de adaptação de 24 meses (Art. 10.º/2). O prazo previsto é até cerca de junho de 2028. Incluem, entre outras:</w:t>
      </w:r>
    </w:p>
    <w:p>
      <w:r>
        <w:t xml:space="preserve">  • Análise de riscos e adoção de uma política de segurança da informação.</w:t>
      </w:r>
    </w:p>
    <w:p>
      <w:r>
        <w:t xml:space="preserve">  • Gestão de incidentes e continuidade de negócio.</w:t>
      </w:r>
    </w:p>
    <w:p>
      <w:r>
        <w:t xml:space="preserve">  • Segurança da cadeia de abastecimento (Art. 28.º) e dos sistemas de informação.</w:t>
      </w:r>
    </w:p>
    <w:p>
      <w:r>
        <w:t xml:space="preserve">  • Boas práticas de ciberhigiene, formação, criptografia e controlo de acessos.</w:t>
      </w:r>
    </w:p>
    <w:p>
      <w:r>
        <w:t xml:space="preserve">  • Segurança física, ambiental e dos recursos humanos.</w:t>
      </w:r>
    </w:p>
    <w:p>
      <w:r>
        <w:t xml:space="preserve">  • Relatório anual de conformidade (Art. 30.º).</w:t>
      </w:r>
    </w:p>
    <w:p/>
    <w:p>
      <w:r>
        <w:rPr>
          <w:i/>
        </w:rPr>
        <w:t xml:space="preserve">Nota: até cerca de abril de 2027 é possível pedir dispensa de coimas por ainda não estar adaptado (Art. 65.º do DL 125/2025). Não confunda dispensa de coimas com dispensa de cumprimento — as obrigações existem desde já.</w:t>
      </w:r>
    </w:p>
    <w:p/>
    <w:p>
      <w:r>
        <w:rPr>
          <w:b/>
          <w:sz w:val="28"/>
        </w:rPr>
        <w:t xml:space="preserve">5. Exposição sancionatória</w:t>
      </w:r>
    </w:p>
    <w:p>
      <w:r>
        <w:t xml:space="preserve">Escalões aplicáveis à sua categoria (Art. 61.º e 62.º do DL 125/2025). Os valores são tetos máximos; a coima concreta é fixada caso a caso pela CNCS. Há um caminho de conformidade e ainda há tempo.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Tipo de infração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essencial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Entidade importante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Base legal</w:t>
            </w:r>
          </w:p>
        </w:tc>
      </w:tr>
      <w:tr>
        <w:tc>
          <w:tcPr>
            <w:tcW w:w="0" w:type="auto"/>
          </w:tcPr>
          <w:p>
            <w:r>
              <w:t xml:space="preserve">Muito grave</w:t>
            </w:r>
          </w:p>
        </w:tc>
        <w:tc>
          <w:tcPr>
            <w:tcW w:w="0" w:type="auto"/>
          </w:tcPr>
          <w:p>
            <w:r>
              <w:t xml:space="preserve">até 10 000 000 € ou 2% do VN mundial, o que for mais elevado</w:t>
            </w:r>
          </w:p>
        </w:tc>
        <w:tc>
          <w:tcPr>
            <w:tcW w:w="0" w:type="auto"/>
          </w:tcPr>
          <w:p>
            <w:r>
              <w:t xml:space="preserve">até 7 000 000 € ou 1,4% do VN mundial, o que for mais elevado</w:t>
            </w:r>
          </w:p>
        </w:tc>
        <w:tc>
          <w:tcPr>
            <w:tcW w:w="0" w:type="auto"/>
          </w:tcPr>
          <w:p>
            <w:r>
              <w:t xml:space="preserve">Art. 61.º/2 DL 125/2025</w:t>
            </w:r>
          </w:p>
        </w:tc>
      </w:tr>
      <w:tr>
        <w:tc>
          <w:tcPr>
            <w:tcW w:w="0" w:type="auto"/>
          </w:tcPr>
          <w:p>
            <w:r>
              <w:t xml:space="preserve">Grave</w:t>
            </w:r>
          </w:p>
        </w:tc>
        <w:tc>
          <w:tcPr>
            <w:tcW w:w="0" w:type="auto"/>
          </w:tcPr>
          <w:p>
            <w:r>
              <w:t xml:space="preserve">até 5 000 000 € ou 1% do VN mundial, o que for mais elevado</w:t>
            </w:r>
          </w:p>
        </w:tc>
        <w:tc>
          <w:tcPr>
            <w:tcW w:w="0" w:type="auto"/>
          </w:tcPr>
          <w:p>
            <w:r>
              <w:t xml:space="preserve">até 3 500 000 € ou 0,7% do VN mundial, o que for mais elevado</w:t>
            </w:r>
          </w:p>
        </w:tc>
        <w:tc>
          <w:tcPr>
            <w:tcW w:w="0" w:type="auto"/>
          </w:tcPr>
          <w:p>
            <w:r>
              <w:t xml:space="preserve">Art. 62.º/2 DL 125/2025</w:t>
            </w:r>
          </w:p>
        </w:tc>
      </w:tr>
    </w:tbl>
    <w:p/>
    <w:p>
      <w:r>
        <w:rPr>
          <w:b/>
          <w:sz w:val="28"/>
        </w:rPr>
        <w:t xml:space="preserve">6. Dossier de Registo na CNCS (Art. 35.º)</w:t>
      </w:r>
    </w:p>
    <w:p>
      <w:r>
        <w:t xml:space="preserve">O registo na plataforma MyCiber (myciber.gov.pt) requer que a entidade disponibilize, entre outros dados:</w:t>
      </w:r>
    </w:p>
    <w:p>
      <w:r>
        <w:t xml:space="preserve">  • Nome e contactos da organização e do ponto de contacto designado.</w:t>
      </w:r>
    </w:p>
    <w:p>
      <w:r>
        <w:t xml:space="preserve">  • Setor(es) e subsetor(es) em que opera (conforme os Anexos I e II do DL 125/2025).</w:t>
      </w:r>
    </w:p>
    <w:p>
      <w:r>
        <w:t xml:space="preserve">  • Lista de endereços IP e gamas de rede da organização — o CISPLAN já dispõe desta informação do scan.</w:t>
      </w:r>
    </w:p>
    <w:p>
      <w:r>
        <w:t xml:space="preserve">  • Identificação dos sistemas de informação e redes críticos para a prestação do serviço.</w:t>
      </w:r>
    </w:p>
    <w:p/>
    <w:p>
      <w:r>
        <w:rPr>
          <w:i/>
        </w:rPr>
        <w:t xml:space="preserve">A submissão é feita diretamente na plataforma MyCiber. A equipa CISPLAN pode preparar o dossier consigo.</w:t>
      </w:r>
    </w:p>
    <w:p/>
    <w:p>
      <w:r>
        <w:rPr>
          <w:b/>
          <w:sz w:val="28"/>
        </w:rPr>
        <w:t xml:space="preserve">7. Nível de conformidade exigido</w:t>
      </w:r>
    </w:p>
    <w:p>
      <w:r>
        <w:rPr>
          <w:i/>
        </w:rPr>
        <w:t xml:space="preserve">O nível de conformidade exato (básico, substancial ou elevado) é atribuído pelo CNCS com base no setor e na dimensão da entidade (Art. 26.º/5 do DL 125/2025; Anexo II do Regulamento n.º 756/2026). Este relatório não estima o nível — fazê-lo aqui seria prematuro e potencialmente contestável.</w:t>
      </w:r>
    </w:p>
    <w:p/>
    <w:p>
      <w:r>
        <w:t xml:space="preserve">Numa próxima fase, o CISPLAN dar-lhe-á uma estimativa preliminar do nível esperado.</w:t>
      </w:r>
    </w:p>
    <w:p/>
    <w:p>
      <w:r>
        <w:rPr>
          <w:b/>
          <w:sz w:val="28"/>
        </w:rPr>
        <w:t xml:space="preserve">8. Próximos passos e a nossa equipa</w:t>
      </w:r>
    </w:p>
    <w:p>
      <w:r>
        <w:rPr>
          <w:i/>
        </w:rPr>
        <w:t xml:space="preserve">Nível de confidencialidade: RESERVADO — Distribuição restrita à administração e ao responsável de cibersegurança.</w:t>
      </w:r>
    </w:p>
    <w:p/>
    <w:p>
      <w:r>
        <w:t xml:space="preserve">A nossa equipa está disponível para confirmar o enquadramento, preparar o dossier de registo e acompanhar a implementação das medidas ao ritmo da sua empresa. Sem preços e sem compromisso nesta fase.</w:t>
      </w:r>
    </w:p>
    <w:p/>
    <w:p>
      <w:r>
        <w:t xml:space="preserve">  1. Confirme este enquadramento com assessor jurídico ou com a CNCS, se tiver dúvidas.</w:t>
      </w:r>
    </w:p>
    <w:p>
      <w:r>
        <w:t xml:space="preserve">  2. Registe-se na MyCiber (myciber.gov.pt) — Art. 35.º. A equipa CISPLAN pode ajudar.</w:t>
      </w:r>
    </w:p>
    <w:p>
      <w:r>
        <w:t xml:space="preserve">  3. Designe o responsável de cibersegurança (Art. 31.º) e o ponto de contacto (Art. 32.º).</w:t>
      </w:r>
    </w:p>
    <w:p>
      <w:r>
        <w:t xml:space="preserve">  4. Prepare o canal de notificação de incidentes (Art. 40.º).</w:t>
      </w:r>
    </w:p>
    <w:p>
      <w:r>
        <w:t xml:space="preserve">  5. Planeie a implementação das medidas de gestão de risco (Art. 27.º-30.º) dentro do prazo.</w:t>
      </w:r>
    </w:p>
    <w:p/>
    <w:p>
      <w:r>
        <w:rPr>
          <w:b/>
        </w:rPr>
        <w:t xml:space="preserve">Gerado automaticamente pelo CISPLAN — cisplan.com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