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(artigo 8.º do RJC).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{#isAConfirmar}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{/isAConfirmar}</w:t>
      </w:r>
    </w:p>
    <w:p/>
    <w:p>
      <w:r>
        <w:rPr>
          <w:b/>
          <w:sz w:val="28"/>
        </w:rPr>
        <w:t xml:space="preserve">{sec3Title}</w:t>
      </w:r>
    </w:p>
    <w:p>
      <w:r>
        <w:t xml:space="preserve">Estas obrigações estão em vigor desde a entrada em vigor do Regime Jurídico da Cibersegurança, em 3 de abril de 2026 (artigo 11.º do Decreto-Lei n.º 125/2025). O Regulamento n.º 756/2026, em vigor desde 23 de junho de 2026, não as criou: operacionalizou-as, definindo o funcionamento da plataforma eletrónica MyCiber e os procedimentos de autoidentificação, qualificação, comunicação e notificação.</w:t>
      </w:r>
    </w:p>
    <w:p>
      <w:r>
        <w:t xml:space="preserve">  • Autoidentificação (artigo 8.º, n.º 1, do RJC): 60 dias após a disponibilização da plataforma eletrónica, para entidades já em atividade à data de entrada em vigor do RJC; 30 dias após o início de atividade, para as restantes. O CNCS refere na sua página estes prazos em dias úteis e a lei não fixa a data de disponibilização da plataforma — confirme o prazo aplicável junto do CNCS.</w:t>
      </w:r>
    </w:p>
    <w:p>
      <w:r>
        <w:t xml:space="preserve">  • Designação obrigatória de responsável de cibersegurança (artigo 31.º) e de ponto de contacto permanente (artigo 32.º). A comunicação faz-se no prazo de 20 dias úteis a contar do início de funções. Para as entidades que já exerciam atividade à data de entrada em vigor do RJC, os artigos 14.º, n.º 2, e 15.º, n.º 2, do Regulamento n.º 756/2026 determinam que o prazo se conta a partir da notificação da qualificação da entidade (artigo 8.º, n.º 5, do RJC).</w:t>
      </w:r>
    </w:p>
    <w:p>
      <w:r>
        <w:t xml:space="preserve">  • Ativação do canal de notificação de incidentes significativos — artigo 40.º do RJC.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Dispensa de coimas (artigo 65.º do RJC): até 3 de abril de 2027 — 12 meses a contar da entrada em vigor do RJC — as entidades podem solicitar à autoridade competente, mediante pedido devidamente fundamentado, a dispensa da aplicação das coimas previstas no n.º 2 do artigo 61.º e no n.º 2 do artigo 62.º, com fundamento na inexistência de um procedimento interno de adaptação ao novo regime. A dispensa não é automática, depende de decisão da autoridade, e não abrange as contraordenações leves nem as sanções acessórias.</w:t>
      </w:r>
    </w:p>
    <w:p/>
    <w:p>
      <w:r>
        <w:rPr>
          <w:b/>
          <w:sz w:val="28"/>
        </w:rPr>
        <w:t xml:space="preserve">{sec5Title}</w:t>
      </w:r>
    </w:p>
    <w:p>
      <w:r>
        <w:t xml:space="preserve">{sec5Intro}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do RJC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do RJC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>
      <w:r>
        <w:t>{#isAbrangida}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{/isAbrangida}</w:t>
      </w:r>
    </w:p>
    <w:p>
      <w:r>
        <w:t>{#isAConfirmar}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{/isAConfirmar}</w:t>
      </w:r>
    </w:p>
    <w:p>
      <w:r>
        <w:rPr>
          <w:i/>
        </w:rPr>
        <w:t xml:space="preserve">Salvo em caso de dolo, a instauração de processo de contraordenação depende de prévia advertência da autoridade competente para cumprimento da obrigação omitida em prazo razoável (artigo 66.º, n.º 5, do RJC).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(artigo 26.º, n.º 5, do RJC;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>{#isAbrangida}</w:t>
      </w:r>
    </w:p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>
      <w:r>
        <w:t>{/isAbrangida}</w:t>
      </w:r>
    </w:p>
    <w:p>
      <w:r>
        <w:t>{#isFora}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Verifique se lhe são aplicáveis os critérios qualitativos do artigo 3.º, n.º 2, do RJC — nomeadamente ser o único prestador de um serviço essencial, ou a organização prestar serviços de comunicações eletrónicas, serviços de confiança ou serviços de DNS e registo de domínios, casos em que a dimensão é irrelevante.</w:t>
      </w:r>
    </w:p>
    <w:p>
      <w:r>
        <w:t xml:space="preserve">  3. Reavalie o enquadramento se a dimensão da organização aumentar ou se a estrutura de grupo se alterar.</w:t>
      </w:r>
    </w:p>
    <w:p>
      <w:r>
        <w:t xml:space="preserve">  4. Ainda que não abrangida, pode adotar voluntariamente o Quadro Nacional de Referência para a Cibersegurança. O CNCS pode recomendá-lo a entidades fora do âmbito de aplicação (artigo 24.º, n.º 2, e artigo 30.º, n.º 8, do Regulamento n.º 756/2026).</w:t>
      </w:r>
    </w:p>
    <w:p>
      <w:r>
        <w:t>{/isFora}</w:t>
      </w:r>
    </w:p>
    <w:p>
      <w:r>
        <w:t>{#isAConfirmar}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Reúna os dados em falta que determinam o enquadramento — nomeadamente o balanço total anual e a estrutura de grupo — e repita a avaliação. São esses dados que decidem se a organização está abrangida e em que categoria.</w:t>
      </w:r>
    </w:p>
    <w:p>
      <w:r>
        <w:t xml:space="preserve">  3. Verifique se lhe são aplicáveis os critérios qualitativos do artigo 3.º, n.º 2, do RJC, que abrangem determinadas entidades independentemente da dimensão.</w:t>
      </w:r>
    </w:p>
    <w:p>
      <w:r>
        <w:t xml:space="preserve">  4. Caso se confirme que está abrangida, os passos aplicáveis são os descritos nas secções 3 e 4 deste relatório.</w:t>
      </w:r>
    </w:p>
    <w:p>
      <w:r>
        <w:t>{/isAConfirmar}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