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
    Type="http://schemas.openxmlformats.org/officeDocument/2006/relationships/officeDocument"
   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6"/>
        </w:rPr>
        <w:t xml:space="preserve">RELATÓRIO DE ENQUADRAMENTO NIS2</w:t>
      </w:r>
    </w:p>
    <w:p>
      <w:pPr>
        <w:jc w:val="center"/>
      </w:pPr>
      <w:r>
        <w:rPr>
          <w:sz w:val="26"/>
        </w:rPr>
        <w:t xml:space="preserve">Decreto-Lei n.º 125/2025 — orientação preliminar</w:t>
      </w:r>
    </w:p>
    <w:p/>
    <w:p>
      <w:r>
        <w:rPr>
          <w:b/>
        </w:rPr>
        <w:t xml:space="preserve">Empresa: </w:t>
      </w:r>
      <w:r>
        <w:t xml:space="preserve">{empresa}</w:t>
      </w:r>
    </w:p>
    <w:p>
      <w:r>
        <w:rPr>
          <w:b/>
        </w:rPr>
        <w:t xml:space="preserve">Data: </w:t>
      </w:r>
      <w:r>
        <w:t xml:space="preserve">{data}</w:t>
      </w:r>
    </w:p>
    <w:p>
      <w:r>
        <w:rPr>
          <w:b/>
        </w:rPr>
        <w:t xml:space="preserve">Versão do motor: </w:t>
      </w:r>
      <w:r>
        <w:t xml:space="preserve">{engineVersion}</w:t>
      </w:r>
    </w:p>
    <w:p/>
    <w:p>
      <w:r>
        <w:rPr>
          <w:i/>
        </w:rPr>
        <w:t xml:space="preserve">AVISO: Este documento é uma orientação preliminar, não um veredicto jurídico nem uma qualificação oficial. A qualificação formal cabe ao CNCS (artigo 8.º do RJC). A emissão deste relatório não substitui o registo na plataforma MyCiber nem o aconselhamento jurídico.</w:t>
      </w:r>
    </w:p>
    <w:p/>
    <w:p>
      <w:r>
        <w:rPr>
          <w:b/>
          <w:sz w:val="28"/>
        </w:rPr>
        <w:t xml:space="preserve">1. Classificação</w:t>
      </w:r>
    </w:p>
    <w:p>
      <w:r>
        <w:rPr>
          <w:b/>
        </w:rPr>
        <w:t xml:space="preserve">Resultado: </w:t>
      </w:r>
      <w:r>
        <w:rPr>
          <w:b/>
        </w:rPr>
        <w:t xml:space="preserve">{classificacaoLabel}</w:t>
      </w:r>
    </w:p>
    <w:p>
      <w:r>
        <w:t xml:space="preserve">{resultLabel}</w:t>
      </w:r>
    </w:p>
    <w:p/>
    <w:p>
      <w:r>
        <w:rPr>
          <w:b/>
          <w:sz w:val="28"/>
        </w:rPr>
        <w:t xml:space="preserve">2. Como chegámos aqui — trilha auditável</w:t>
      </w:r>
    </w:p>
    <w:p>
      <w:r>
        <w:t xml:space="preserve">Cada passo cita o artigo legal que o fundamenta:</w:t>
      </w:r>
    </w:p>
    <w:p>
      <w:r>
        <w:t>{#steps}</w:t>
      </w:r>
    </w:p>
    <w:p>
      <w:r>
        <w:t xml:space="preserve">  • </w:t>
      </w:r>
      <w:r>
        <w:t>{label}</w:t>
      </w:r>
      <w:r>
        <w:t xml:space="preserve"> — </w:t>
      </w:r>
      <w:r>
        <w:t>{article}</w:t>
      </w:r>
    </w:p>
    <w:p>
      <w:r>
        <w:t>{/steps}</w:t>
      </w:r>
    </w:p>
    <w:p/>
    <w:p>
      <w:r>
        <w:t>{#isFora}</w:t>
      </w:r>
    </w:p>
    <w:p>
      <w:r>
        <w:t xml:space="preserve">As secções seguintes descrevem as obrigações aplicáveis às entidades abrangidas pelo Regime Jurídico da Cibersegurança. De acordo com este enquadramento preliminar, a sua organização não é abrangida, pelo que estas obrigações não lhe são exigíveis. São apresentadas a título informativo, para o caso de a situação da organização se alterar ou de se verificarem os critérios qualitativos do artigo 3.º, n.º 2, do RJC.</w:t>
      </w:r>
    </w:p>
    <w:p>
      <w:r>
        <w:t>{/isFora}</w:t>
      </w:r>
    </w:p>
    <w:p>
      <w:r>
        <w:t>{#isCondicional}</w:t>
      </w:r>
    </w:p>
    <w:p>
      <w:r>
        <w:t xml:space="preserve">As secções seguintes descrevem as obrigações aplicáveis às entidades abrangidas pelo Regime Jurídico da Cibersegurança. De acordo com este enquadramento preliminar, o enquadramento da sua organização não está determinado, pelo que estas obrigações só lhe serão exigíveis caso se confirme que está abrangida. São apresentadas a título informativo, para o caso de a situação da organização se alterar ou de se verificarem os critérios qualitativos do artigo 3.º, n.º 2, do RJC.</w:t>
      </w:r>
    </w:p>
    <w:p>
      <w:r>
        <w:t>{/isCondicional}</w:t>
      </w:r>
    </w:p>
    <w:p/>
    <w:p>
      <w:r>
        <w:rPr>
          <w:b/>
          <w:sz w:val="28"/>
        </w:rPr>
        <w:t xml:space="preserve">{sec3Title}</w:t>
      </w:r>
    </w:p>
    <w:p>
      <w:r>
        <w:t xml:space="preserve">{emVigorTexto}</w:t>
      </w:r>
    </w:p>
    <w:p>
      <w:r>
        <w:t xml:space="preserve">  • Autoidentificação (artigo 8.º, n.º 1, do RJC): 60 dias após a disponibilização da plataforma eletrónica, para entidades já em atividade à data de entrada em vigor do RJC; 30 dias após o início de atividade, para as restantes. O CNCS refere na sua página estes prazos em dias úteis e a lei não fixa a data de disponibilização da plataforma — confirme o prazo aplicável junto do CNCS.</w:t>
      </w:r>
    </w:p>
    <w:p>
      <w:r>
        <w:t xml:space="preserve">  • Designação obrigatória de responsável de cibersegurança (artigo 31.º) e de ponto de contacto permanente (artigo 32.º). A comunicação faz-se no prazo de 20 dias úteis a contar do início de funções. Para as entidades que já exerciam atividade à data de entrada em vigor do RJC, os artigos 14.º, n.º 2, e 15.º, n.º 2, do Regulamento n.º 756/2026 determinam que o prazo se conta a partir da notificação da qualificação da entidade (artigo 8.º, n.º 5, do RJC).</w:t>
      </w:r>
    </w:p>
    <w:p>
      <w:r>
        <w:t xml:space="preserve">  • Ativação do canal de notificação de incidentes significativos — artigo 40.º do RJC.</w:t>
      </w:r>
    </w:p>
    <w:p/>
    <w:p>
      <w:r>
        <w:rPr>
          <w:b/>
          <w:sz w:val="28"/>
        </w:rPr>
        <w:t xml:space="preserve">{sec4Title}</w:t>
      </w:r>
    </w:p>
    <w:p>
      <w:r>
        <w:t xml:space="preserve">O disposto nos n.os 1 e 2 do artigo 27.º, nos artigos 28.º a 30.º e no artigo 33.º do RJC produz efeitos 24 meses após a publicação do Regulamento n.º 756/2026, ou seja, a partir de 22 de junho de 2028 (artigo 10.º, n.º 2, do Decreto-Lei n.º 125/2025).</w:t>
      </w:r>
    </w:p>
    <w:p>
      <w:r>
        <w:t xml:space="preserve">  • Análise de riscos e adoção de uma política de segurança da informação.</w:t>
      </w:r>
    </w:p>
    <w:p>
      <w:r>
        <w:t xml:space="preserve">  • Gestão de incidentes e continuidade de negócio.</w:t>
      </w:r>
    </w:p>
    <w:p>
      <w:r>
        <w:t xml:space="preserve">  • Segurança da cadeia de abastecimento (Art. 28.º) e dos sistemas de informação.</w:t>
      </w:r>
    </w:p>
    <w:p>
      <w:r>
        <w:t xml:space="preserve">  • Boas práticas de ciberhigiene, formação, criptografia e controlo de acessos.</w:t>
      </w:r>
    </w:p>
    <w:p>
      <w:r>
        <w:t xml:space="preserve">  • Segurança física, ambiental e dos recursos humanos.</w:t>
      </w:r>
    </w:p>
    <w:p>
      <w:r>
        <w:t xml:space="preserve">  • Relatório anual de conformidade (Art. 30.º).</w:t>
      </w:r>
    </w:p>
    <w:p/>
    <w:p>
      <w:r>
        <w:rPr>
          <w:i/>
        </w:rPr>
        <w:t xml:space="preserve">Dispensa de coimas (artigo 65.º do RJC): até 3 de abril de 2027 — 12 meses a contar da entrada em vigor do RJC — as entidades podem solicitar à autoridade competente, mediante pedido devidamente fundamentado, a dispensa da aplicação das coimas previstas no n.º 2 do artigo 61.º e no n.º 2 do artigo 62.º, com fundamento na inexistência de um procedimento interno de adaptação ao novo regime. A dispensa não é automática, depende de decisão da autoridade, e não abrange as contraordenações leves nem as sanções acessórias. A dispensa respeita apenas à aplicação de coimas e não dispensa o cumprimento das obrigações, que se mantêm exigíveis.</w:t>
      </w:r>
    </w:p>
    <w:p/>
    <w:p>
      <w:r>
        <w:rPr>
          <w:b/>
          <w:sz w:val="28"/>
        </w:rPr>
        <w:t xml:space="preserve">{sec5Title}</w:t>
      </w:r>
    </w:p>
    <w:p>
      <w:r>
        <w:t xml:space="preserve">{sec5Intro}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r>
        <w:tc>
          <w:tcPr>
            <w:tcW w:w="0" w:type="auto"/>
          </w:tcPr>
          <w:p>
            <w:r>
              <w:rPr>
                <w:b/>
              </w:rPr>
              <w:t xml:space="preserve">Tipo de infração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Entidade essencial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Entidade importante</w:t>
            </w:r>
          </w:p>
        </w:tc>
        <w:tc>
          <w:tcPr>
            <w:tcW w:w="0" w:type="auto"/>
          </w:tcPr>
          <w:p>
            <w:r>
              <w:rPr>
                <w:b/>
              </w:rPr>
              <w:t xml:space="preserve">Base legal</w:t>
            </w:r>
          </w:p>
        </w:tc>
      </w:tr>
      <w:tr>
        <w:tc>
          <w:tcPr>
            <w:tcW w:w="0" w:type="auto"/>
          </w:tcPr>
          <w:p>
            <w:r>
              <w:t xml:space="preserve">Muito grave</w:t>
            </w:r>
          </w:p>
        </w:tc>
        <w:tc>
          <w:tcPr>
            <w:tcW w:w="0" w:type="auto"/>
          </w:tcPr>
          <w:p>
            <w:r>
              <w:t xml:space="preserve">até 10 000 000 € ou 2% do VN mundial, o que for mais elevado</w:t>
            </w:r>
          </w:p>
        </w:tc>
        <w:tc>
          <w:tcPr>
            <w:tcW w:w="0" w:type="auto"/>
          </w:tcPr>
          <w:p>
            <w:r>
              <w:t xml:space="preserve">até 7 000 000 € ou 1,4% do VN mundial, o que for mais elevado</w:t>
            </w:r>
          </w:p>
        </w:tc>
        <w:tc>
          <w:tcPr>
            <w:tcW w:w="0" w:type="auto"/>
          </w:tcPr>
          <w:p>
            <w:r>
              <w:t xml:space="preserve">Art. 61.º/2 do RJC</w:t>
            </w:r>
          </w:p>
        </w:tc>
      </w:tr>
      <w:tr>
        <w:tc>
          <w:tcPr>
            <w:tcW w:w="0" w:type="auto"/>
          </w:tcPr>
          <w:p>
            <w:r>
              <w:t xml:space="preserve">Grave</w:t>
            </w:r>
          </w:p>
        </w:tc>
        <w:tc>
          <w:tcPr>
            <w:tcW w:w="0" w:type="auto"/>
          </w:tcPr>
          <w:p>
            <w:r>
              <w:t xml:space="preserve">até 5 000 000 € ou 1% do VN mundial, o que for mais elevado</w:t>
            </w:r>
          </w:p>
        </w:tc>
        <w:tc>
          <w:tcPr>
            <w:tcW w:w="0" w:type="auto"/>
          </w:tcPr>
          <w:p>
            <w:r>
              <w:t xml:space="preserve">até 3 500 000 € ou 0,7% do VN mundial, o que for mais elevado</w:t>
            </w:r>
          </w:p>
        </w:tc>
        <w:tc>
          <w:tcPr>
            <w:tcW w:w="0" w:type="auto"/>
          </w:tcPr>
          <w:p>
            <w:r>
              <w:t xml:space="preserve">Art. 62.º/2 do RJC</w:t>
            </w:r>
          </w:p>
        </w:tc>
      </w:tr>
    </w:tbl>
    <w:p>
      <w:r>
        <w:rPr>
          <w:i/>
        </w:rPr>
        <w:t xml:space="preserve">Nota: as contraordenações muito graves previstas nas alíneas b), c) e f) do n.º 1 do artigo 61.º do RJC só produzem efeitos a partir de 22 de junho de 2028, nos termos do artigo 10.º, n.º 2, do Decreto-Lei n.º 125/2025.</w:t>
      </w:r>
    </w:p>
    <w:p>
      <w:r>
        <w:t>{#isAbrangida}</w:t>
      </w:r>
    </w:p>
    <w:p>
      <w:r>
        <w:rPr>
          <w:i/>
        </w:rPr>
        <w:t xml:space="preserve">O incumprimento dos deveres de designação do responsável de cibersegurança (artigo 31.º) e de ponto de contacto permanente (artigo 32.º) constitui contraordenação muito grave, nos termos das alíneas d) e e) do n.º 1 do artigo 61.º do RJC. Estas alíneas não constam do diferimento previsto no artigo 10.º, n.º 2, do Decreto-Lei n.º 125/2025.</w:t>
      </w:r>
    </w:p>
    <w:p>
      <w:r>
        <w:t>{/isAbrangida}</w:t>
      </w:r>
    </w:p>
    <w:p>
      <w:r>
        <w:t>{#isAConfirmar}</w:t>
      </w:r>
    </w:p>
    <w:p>
      <w:r>
        <w:rPr>
          <w:i/>
        </w:rPr>
        <w:t xml:space="preserve">O incumprimento dos deveres de designação do responsável de cibersegurança (artigo 31.º) e de ponto de contacto permanente (artigo 32.º) constitui contraordenação muito grave, nos termos das alíneas d) e e) do n.º 1 do artigo 61.º do RJC. Estas alíneas não constam do diferimento previsto no artigo 10.º, n.º 2, do Decreto-Lei n.º 125/2025.</w:t>
      </w:r>
    </w:p>
    <w:p>
      <w:r>
        <w:t>{/isAConfirmar}</w:t>
      </w:r>
    </w:p>
    <w:p>
      <w:r>
        <w:rPr>
          <w:i/>
        </w:rPr>
        <w:t xml:space="preserve">Salvo em caso de dolo, a instauração de processo de contraordenação depende de prévia advertência da autoridade competente para cumprimento da obrigação omitida em prazo razoável (artigo 66.º, n.º 5, do RJC).</w:t>
      </w:r>
    </w:p>
    <w:p/>
    <w:p>
      <w:r>
        <w:rPr>
          <w:b/>
          <w:sz w:val="28"/>
        </w:rPr>
        <w:t xml:space="preserve">6. Dossier de Registo na CNCS (Art. 35.º)</w:t>
      </w:r>
    </w:p>
    <w:p>
      <w:r>
        <w:t xml:space="preserve">O registo na plataforma MyCiber (myciber.gov.pt) requer que a entidade disponibilize, entre outros dados:</w:t>
      </w:r>
    </w:p>
    <w:p>
      <w:r>
        <w:t xml:space="preserve">  • Nome e contactos da organização e do ponto de contacto designado.</w:t>
      </w:r>
    </w:p>
    <w:p>
      <w:r>
        <w:t xml:space="preserve">  • Setor(es) e subsetor(es) em que opera (conforme os Anexos I e II do DL 125/2025).</w:t>
      </w:r>
    </w:p>
    <w:p>
      <w:r>
        <w:t xml:space="preserve">  • Lista de ativos publicamente acessíveis — artigo 32.º do Regulamento n.º 756/2026. Abrange todos os ativos diretamente acessíveis pela Internet, com indicação do serviço suportado, nome do equipamento ou software, modelo e versão, sistema operativo, software do servidor aplicacional, endereço IP, FQDN, fabricante e dependências entre ativos. Constitui informação classificada de grau reservado e é atualizada anualmente. A versão inicial é comunicada até 31 de janeiro do ano seguinte ao da notificação de qualificação, ou no prazo de seis meses após essa notificação, consoante o que ocorrer primeiro. O scan externo do CISPLAN recolhe já a maior parte destes elementos.</w:t>
      </w:r>
    </w:p>
    <w:p>
      <w:r>
        <w:t xml:space="preserve">  • Identificação dos sistemas de informação e redes críticos para a prestação do serviço.</w:t>
      </w:r>
    </w:p>
    <w:p/>
    <w:p>
      <w:r>
        <w:rPr>
          <w:i/>
        </w:rPr>
        <w:t xml:space="preserve">A submissão é feita diretamente na plataforma MyCiber. A equipa CISPLAN pode preparar o dossier consigo.</w:t>
      </w:r>
    </w:p>
    <w:p/>
    <w:p>
      <w:r>
        <w:rPr>
          <w:b/>
          <w:sz w:val="28"/>
        </w:rPr>
        <w:t xml:space="preserve">7. Nível de conformidade exigido</w:t>
      </w:r>
    </w:p>
    <w:p>
      <w:r>
        <w:rPr>
          <w:i/>
        </w:rPr>
        <w:t xml:space="preserve">O nível de conformidade exato (básico, substancial ou elevado) é atribuído pelo CNCS com base no setor e na dimensão da entidade (artigo 26.º, n.º 5, do RJC; Anexo II do Regulamento n.º 756/2026). Este relatório não estima o nível — fazê-lo aqui seria prematuro e potencialmente contestável.</w:t>
      </w:r>
    </w:p>
    <w:p/>
    <w:p>
      <w:r>
        <w:t xml:space="preserve">Numa próxima fase, o CISPLAN dar-lhe-á uma estimativa preliminar do nível esperado.</w:t>
      </w:r>
    </w:p>
    <w:p/>
    <w:p>
      <w:r>
        <w:rPr>
          <w:b/>
          <w:sz w:val="28"/>
        </w:rPr>
        <w:t xml:space="preserve">8. Próximos passos e a nossa equipa</w:t>
      </w:r>
    </w:p>
    <w:p>
      <w:r>
        <w:rPr>
          <w:i/>
        </w:rPr>
        <w:t xml:space="preserve">Nível de confidencialidade: RESERVADO — Distribuição restrita à administração e ao responsável de cibersegurança.</w:t>
      </w:r>
    </w:p>
    <w:p/>
    <w:p>
      <w:r>
        <w:t xml:space="preserve">A nossa equipa está disponível para confirmar o enquadramento, preparar o dossier de registo e acompanhar a implementação das medidas ao ritmo da sua empresa. Sem preços e sem compromisso nesta fase.</w:t>
      </w:r>
    </w:p>
    <w:p/>
    <w:p>
      <w:r>
        <w:t>{#isAbrangida}</w:t>
      </w:r>
    </w:p>
    <w:p>
      <w:r>
        <w:t xml:space="preserve">  1. Confirme este enquadramento com assessor jurídico ou com a CNCS, se tiver dúvidas.</w:t>
      </w:r>
    </w:p>
    <w:p>
      <w:r>
        <w:t xml:space="preserve">  2. Registe-se na MyCiber (myciber.gov.pt) — Art. 35.º. A equipa CISPLAN pode ajudar.</w:t>
      </w:r>
    </w:p>
    <w:p>
      <w:r>
        <w:t xml:space="preserve">  3. Designe o responsável de cibersegurança (Art. 31.º) e o ponto de contacto (Art. 32.º).</w:t>
      </w:r>
    </w:p>
    <w:p>
      <w:r>
        <w:t xml:space="preserve">  4. Prepare o canal de notificação de incidentes (Art. 40.º).</w:t>
      </w:r>
    </w:p>
    <w:p>
      <w:r>
        <w:t xml:space="preserve">  5. Planeie a implementação das medidas de gestão de risco (Art. 27.º-30.º) dentro do prazo.</w:t>
      </w:r>
    </w:p>
    <w:p>
      <w:r>
        <w:t>{/isAbrangida}</w:t>
      </w:r>
    </w:p>
    <w:p>
      <w:r>
        <w:t>{#isFora}</w:t>
      </w:r>
    </w:p>
    <w:p>
      <w:r>
        <w:t xml:space="preserve">  1. Confirme este enquadramento com assessor jurídico ou junto do CNCS. Este relatório é uma orientação preliminar e não substitui a qualificação oficial.</w:t>
      </w:r>
    </w:p>
    <w:p>
      <w:r>
        <w:t xml:space="preserve">  2. Verifique se lhe são aplicáveis os critérios qualitativos do artigo 3.º, n.º 2, do RJC — nomeadamente ser o único prestador de um serviço essencial, ou a organização prestar serviços de comunicações eletrónicas, serviços de confiança ou serviços de DNS e registo de domínios, casos em que a dimensão é irrelevante.</w:t>
      </w:r>
    </w:p>
    <w:p>
      <w:r>
        <w:t xml:space="preserve">  3. Reavalie o enquadramento se a dimensão da organização aumentar ou se a estrutura de grupo se alterar.</w:t>
      </w:r>
    </w:p>
    <w:p>
      <w:r>
        <w:t xml:space="preserve">  4. Ainda que não abrangida, pode adotar voluntariamente o Quadro Nacional de Referência para a Cibersegurança. O CNCS pode recomendá-lo a entidades fora do âmbito de aplicação (artigo 24.º, n.º 2, e artigo 30.º, n.º 8, do Regulamento n.º 756/2026).</w:t>
      </w:r>
    </w:p>
    <w:p>
      <w:r>
        <w:t>{/isFora}</w:t>
      </w:r>
    </w:p>
    <w:p>
      <w:r>
        <w:t>{#isAConfirmar}</w:t>
      </w:r>
    </w:p>
    <w:p>
      <w:r>
        <w:t xml:space="preserve">  1. Confirme este enquadramento com assessor jurídico ou junto do CNCS. Este relatório é uma orientação preliminar e não substitui a qualificação oficial.</w:t>
      </w:r>
    </w:p>
    <w:p>
      <w:r>
        <w:t xml:space="preserve">  2. Reúna os dados em falta que determinam o enquadramento — nomeadamente o balanço total anual e a estrutura de grupo — e repita a avaliação. São esses dados que decidem se a organização está abrangida e em que categoria.</w:t>
      </w:r>
    </w:p>
    <w:p>
      <w:r>
        <w:t xml:space="preserve">  3. Verifique se lhe são aplicáveis os critérios qualitativos do artigo 3.º, n.º 2, do RJC, que abrangem determinadas entidades independentemente da dimensão.</w:t>
      </w:r>
    </w:p>
    <w:p>
      <w:r>
        <w:t xml:space="preserve">  4. Caso se confirme que está abrangida, os passos aplicáveis são os descritos nas secções 3 e 4 deste relatório.</w:t>
      </w:r>
    </w:p>
    <w:p>
      <w:r>
        <w:t>{/isAConfirmar}</w:t>
      </w:r>
    </w:p>
    <w:p/>
    <w:p>
      <w:r>
        <w:rPr>
          <w:b/>
        </w:rPr>
        <w:t xml:space="preserve">Gerado automaticamente pelo CISPLAN — cisplan.com</w:t>
      </w:r>
    </w:p>
    <w:sectPr/>
  </w:body>
</w:document>
</file>

<file path=word/_rels/document.xml.rels><?xml version="1.0" encoding="UTF-8" standalone="yes"?>
<Relationships xmlns="http://schemas.openxmlformats.org/package/2006/relationships">
</Relationships>
</file>