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(Art. 8.º do DL 125/2025).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{classificacaoLabel}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t>{#isFora}</w:t>
      </w:r>
    </w:p>
    <w:p>
      <w:r>
        <w:t xml:space="preserve">As secções seguintes descrevem as obrigações aplicáveis às entidades abrangidas pelo Regime Jurídico da Cibersegurança. De acordo com este enquadramento preliminar, a sua organização não é abrangida, pelo que estas obrigações não lhe são exigíveis. São apresentadas a título informativo, para o caso de a situação da organização se alterar ou de se verificarem os critérios qualitativos do artigo 3.º, n.º 2, do RJC.</w:t>
      </w:r>
    </w:p>
    <w:p>
      <w:r>
        <w:t>{/isFora}</w:t>
      </w:r>
    </w:p>
    <w:p>
      <w:r>
        <w:t>{#isAConfirmar}</w:t>
      </w:r>
    </w:p>
    <w:p>
      <w:r>
        <w:t xml:space="preserve">As secções seguintes descrevem as obrigações aplicáveis às entidades abrangidas pelo Regime Jurídico da Cibersegurança. De acordo com este enquadramento preliminar, o enquadramento da sua organização não está determinado, pelo que estas obrigações só lhe serão exigíveis caso se confirme que está abrangida. São apresentadas a título informativo, para o caso de a situação da organização se alterar ou de se verificarem os critérios qualitativos do artigo 3.º, n.º 2, do RJC.</w:t>
      </w:r>
    </w:p>
    <w:p>
      <w:r>
        <w:t>{/isAConfirmar}</w:t>
      </w:r>
    </w:p>
    <w:p/>
    <w:p>
      <w:r>
        <w:rPr>
          <w:b/>
          <w:sz w:val="28"/>
        </w:rPr>
        <w:t xml:space="preserve">{sec3Title}</w:t>
      </w:r>
    </w:p>
    <w:p>
      <w:r>
        <w:t xml:space="preserve">Estas obrigações estão em vigor desde a entrada em vigor do Regime Jurídico da Cibersegurança, em 3 de abril de 2026 (artigo 11.º do Decreto-Lei n.º 125/2025). O Regulamento n.º 756/2026, em vigor desde 23 de junho de 2026, não as criou: operacionalizou-as, definindo o funcionamento da plataforma eletrónica MyCiber e os procedimentos de autoidentificação, qualificação, comunicação e notificação.</w:t>
      </w:r>
    </w:p>
    <w:p>
      <w:r>
        <w:t xml:space="preserve">  • Registo e autoidentificação na plataforma MyCiber (myciber.gov.pt) — artigo 35.º do DL 125/2025. Prazo: 60 dias úteis a contar da disponibilização da plataforma, ocorrida a 23 de junho de 2026, para as entidades que já se encontravam em atividade; 30 dias úteis para as que iniciem atividade após a entrada em vigor do RJC. O prazo termina por volta de 15 de setembro de 2026. Confirme a data exata junto do CNCS.</w:t>
      </w:r>
    </w:p>
    <w:p>
      <w:r>
        <w:t xml:space="preserve">  • Designação de responsável de cibersegurança — artigo 31.º do DL 125/2025.</w:t>
      </w:r>
    </w:p>
    <w:p>
      <w:r>
        <w:t xml:space="preserve">  • Designação de ponto de contacto permanente — artigo 32.º do DL 125/2025.</w:t>
      </w:r>
    </w:p>
    <w:p>
      <w:r>
        <w:t xml:space="preserve">A comunicação de ambos é feita na área reservada da plataforma, nos termos dos artigos 14.º e 15.º do Regulamento n.º 756/2026. Nos casos previstos no n.º 4 dos artigos 31.º e 32.º do RJC, o prazo conta-se a partir da notificação da qualificação da entidade (artigo 8.º, n.º 5, do RJC).</w:t>
      </w:r>
    </w:p>
    <w:p>
      <w:r>
        <w:t xml:space="preserve">  • Ativação do canal de notificação de incidentes significativos — Art. 40.º do DL 125/2025.</w:t>
      </w:r>
    </w:p>
    <w:p/>
    <w:p>
      <w:r>
        <w:rPr>
          <w:b/>
          <w:sz w:val="28"/>
        </w:rPr>
        <w:t xml:space="preserve">{sec4Title}</w:t>
      </w:r>
    </w:p>
    <w:p>
      <w:r>
        <w:t xml:space="preserve">O disposto nos n.os 1 e 2 do artigo 27.º, nos artigos 28.º a 30.º e no artigo 33.º do RJC produz efeitos 24 meses após a publicação do Regulamento n.º 756/2026, ou seja, a partir de 22 de junho de 2028 (artigo 10.º, n.º 2, do Decreto-Lei n.º 125/2025).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Nota: até cerca de abril de 2027 é possível pedir dispensa de coimas por ainda não estar adaptado (Art. 65.º do DL 125/2025). Não confunda dispensa de coimas com dispensa de cumprimento — as obrigações existem desde já.</w:t>
      </w:r>
    </w:p>
    <w:p/>
    <w:p>
      <w:r>
        <w:rPr>
          <w:b/>
          <w:sz w:val="28"/>
        </w:rPr>
        <w:t xml:space="preserve">{sec5Title}</w:t>
      </w:r>
    </w:p>
    <w:p>
      <w:r>
        <w:t xml:space="preserve">Escalões aplicáveis à sua categoria (Art. 61.º e 62.º do DL 125/2025). Os valores são tetos máximos; a coima concreta é fixada caso a caso pela CNCS. Há um caminho de conformidade e ainda há tempo.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mundial, o que for mais elevado</w:t>
            </w:r>
          </w:p>
        </w:tc>
        <w:tc>
          <w:tcPr>
            <w:tcW w:w="0" w:type="auto"/>
          </w:tcPr>
          <w:p>
            <w:r>
              <w:t xml:space="preserve">até 7 000 000 € ou 1,4% do VN mundial, o que for mais elevado</w:t>
            </w:r>
          </w:p>
        </w:tc>
        <w:tc>
          <w:tcPr>
            <w:tcW w:w="0" w:type="auto"/>
          </w:tcPr>
          <w:p>
            <w:r>
              <w:t xml:space="preserve">Art. 61.º/2 DL 125/2025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mundial, o que for mais elevado</w:t>
            </w:r>
          </w:p>
        </w:tc>
        <w:tc>
          <w:tcPr>
            <w:tcW w:w="0" w:type="auto"/>
          </w:tcPr>
          <w:p>
            <w:r>
              <w:t xml:space="preserve">até 3 500 000 € ou 0,7% do VN mundial, o que for mais elevado</w:t>
            </w:r>
          </w:p>
        </w:tc>
        <w:tc>
          <w:tcPr>
            <w:tcW w:w="0" w:type="auto"/>
          </w:tcPr>
          <w:p>
            <w:r>
              <w:t xml:space="preserve">Art. 62.º/2 DL 125/2025</w:t>
            </w:r>
          </w:p>
        </w:tc>
      </w:tr>
    </w:tbl>
    <w:p>
      <w:r>
        <w:rPr>
          <w:i/>
        </w:rPr>
        <w:t xml:space="preserve">Nota: as contraordenações muito graves previstas nas alíneas b), c) e f) do n.º 1 do artigo 61.º do RJC só produzem efeitos a partir de 22 de junho de 2028, nos termos do artigo 10.º, n.º 2, do Decreto-Lei n.º 125/2025.</w:t>
      </w:r>
    </w:p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ativos publicamente acessíveis — artigo 32.º do Regulamento n.º 756/2026. Abrange todos os ativos diretamente acessíveis pela Internet, com indicação do serviço suportado, nome do equipamento ou software, modelo e versão, sistema operativo, software do servidor aplicacional, endereço IP, FQDN, fabricante e dependências entre ativos. Constitui informação classificada de grau reservado e é atualizada anualmente. A versão inicial é comunicada até 31 de janeiro do ano seguinte ao da notificação de qualificação, ou no prazo de seis meses após essa notificação, consoante o que ocorrer primeiro. O scan externo do CISPLAN recolhe já a maior parte destes elementos.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(Art. 26.º/5 do DL 125/2025;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