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(Art. 8.º do DL 125/2025).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rPr>
          <w:b/>
          <w:sz w:val="28"/>
        </w:rPr>
        <w:t xml:space="preserve">3. O que a lei já exige de si hoje</w:t>
      </w:r>
    </w:p>
    <w:p>
      <w:r>
        <w:t xml:space="preserve">Estas obrigações estão em vigor desde a publicação do Regulamento n.º 756/2026 (22 de junho de 2026). São de baixo esforço mas de alto risco se esquecidas — o incumprimento é já uma infração:</w:t>
      </w:r>
    </w:p>
    <w:p>
      <w:r>
        <w:t xml:space="preserve">  • Registo na plataforma MyCiber (myciber.gov.pt) — Art. 35.º do DL 125/2025.</w:t>
      </w:r>
    </w:p>
    <w:p>
      <w:r>
        <w:t xml:space="preserve">  • Designação de responsável de cibersegurança — Art. 31.º do DL 125/2025.</w:t>
      </w:r>
    </w:p>
    <w:p>
      <w:r>
        <w:t xml:space="preserve">  • Designação de ponto de contacto permanente com a CNCS — Art. 32.º do DL 125/2025.</w:t>
      </w:r>
    </w:p>
    <w:p>
      <w:r>
        <w:t xml:space="preserve">  • Ativação do canal de notificação de incidentes significativos — Art. 40.º do DL 125/2025.</w:t>
      </w:r>
    </w:p>
    <w:p/>
    <w:p>
      <w:r>
        <w:rPr>
          <w:b/>
          <w:sz w:val="28"/>
        </w:rPr>
        <w:t xml:space="preserve">4. O que terá de estar pronto até ~junho de 2028</w:t>
      </w:r>
    </w:p>
    <w:p>
      <w:r>
        <w:t xml:space="preserve">As medidas de gestão de risco de cibersegurança (Art. 27.º a 30.º do DL 125/2025) têm um período de adaptação de 24 meses (Art. 10.º/2). O prazo previsto é até cerca de junho de 2028. Incluem, entre outras: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Nota: até cerca de abril de 2027 é possível pedir dispensa de coimas por ainda não estar adaptado (Art. 65.º do DL 125/2025). Não confunda dispensa de coimas com dispensa de cumprimento — as obrigações existem desde já.</w:t>
      </w:r>
    </w:p>
    <w:p/>
    <w:p>
      <w:r>
        <w:rPr>
          <w:b/>
          <w:sz w:val="28"/>
        </w:rPr>
        <w:t xml:space="preserve">5. Exposição sancionatória</w:t>
      </w:r>
    </w:p>
    <w:p>
      <w:r>
        <w:t xml:space="preserve">Escalões aplicáveis à sua categoria (Art. 61.º e 62.º do DL 125/2025). Os valores são tetos máximos; a coima concreta é fixada caso a caso pela CNCS. Há um caminho de conformidade e ainda há tempo.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global</w:t>
            </w:r>
          </w:p>
        </w:tc>
        <w:tc>
          <w:tcPr>
            <w:tcW w:w="0" w:type="auto"/>
          </w:tcPr>
          <w:p>
            <w:r>
              <w:t xml:space="preserve">até 7 000 000 € ou 1,4% do VN global</w:t>
            </w:r>
          </w:p>
        </w:tc>
        <w:tc>
          <w:tcPr>
            <w:tcW w:w="0" w:type="auto"/>
          </w:tcPr>
          <w:p>
            <w:r>
              <w:t xml:space="preserve">Art. 61.º DL 125/2025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global</w:t>
            </w:r>
          </w:p>
        </w:tc>
        <w:tc>
          <w:tcPr>
            <w:tcW w:w="0" w:type="auto"/>
          </w:tcPr>
          <w:p>
            <w:r>
              <w:t xml:space="preserve">até 3 500 000 € ou 0,7% do VN global</w:t>
            </w:r>
          </w:p>
        </w:tc>
        <w:tc>
          <w:tcPr>
            <w:tcW w:w="0" w:type="auto"/>
          </w:tcPr>
          <w:p>
            <w:r>
              <w:t xml:space="preserve">Art. 62.º DL 125/2025</w:t>
            </w:r>
          </w:p>
        </w:tc>
      </w:tr>
    </w:tbl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endereços IP e gamas de rede da organização — o CISPLAN já dispõe desta informação do scan.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(Art. 26.º/5 do DL 125/2025;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