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TEMPLATE DE CLÁUSULAS NIS2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para Contratos com Fornecedores de TIC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Art. 21.º §2(d) Diretiva NIS2  ·  DL 125/2025  ·  ISO/IEC 27036  ·  Versão 1.0 — 2025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5000" w:sz="2"/>
              <w:left w:val="single" w:color="7B5000" w:sz="2"/>
              <w:bottom w:val="single" w:color="7B5000" w:sz="2"/>
              <w:right w:val="single" w:color="7B5000" w:sz="2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5000"/>
                <w:sz w:val="20"/>
                <w:szCs w:val="20"/>
              </w:rPr>
              <w:t xml:space="preserve">⚠️ AVISO LEGAL  </w:t>
            </w:r>
            <w:r>
              <w:rPr>
                <w:rFonts w:ascii="Arial" w:cs="Arial" w:eastAsia="Arial" w:hAnsi="Arial"/>
                <w:i/>
                <w:iCs/>
                <w:color w:val="7B5000"/>
                <w:sz w:val="20"/>
                <w:szCs w:val="20"/>
              </w:rPr>
              <w:t xml:space="preserve">Este template é orientativo e baseado nos requisitos da Diretiva NIS2 e DL 125/2025. Deve ser adaptado ao contrato específico com assessoria jurídica. Para contratos com grandes fornecedores (Microsoft, Google, AWS) utilizar as cláusulas nas condições de serviço existentes como base e verificar conformidade com os requisitos NIS2.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IDENTIFICAÇÃO DO CONTRATO</w:t>
            </w:r>
          </w:p>
          <w:tbl>
            <w:tblPr>
              <w:tblW w:type="dxa" w:w="860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440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pPr>
                    <w:spacing w:before="80" w:after="10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2"/>
                      <w:szCs w:val="22"/>
                    </w:rPr>
                    <w:t xml:space="preserve">Cliente (PME):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F7F7F"/>
                      <w:sz w:val="22"/>
                      <w:szCs w:val="22"/>
                    </w:rPr>
                    <w:t xml:space="preserve">_______________________________________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pPr>
                    <w:spacing w:before="80" w:after="10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2"/>
                      <w:szCs w:val="22"/>
                    </w:rPr>
                    <w:t xml:space="preserve">NIF: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F7F7F"/>
                      <w:sz w:val="22"/>
                      <w:szCs w:val="22"/>
                    </w:rPr>
                    <w:t xml:space="preserve">_______________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pPr>
                    <w:spacing w:before="80" w:after="10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2"/>
                      <w:szCs w:val="22"/>
                    </w:rPr>
                    <w:t xml:space="preserve">Fornecedor: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F7F7F"/>
                      <w:sz w:val="22"/>
                      <w:szCs w:val="22"/>
                    </w:rPr>
                    <w:t xml:space="preserve">___________________________________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pPr>
                    <w:spacing w:before="80" w:after="10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2"/>
                      <w:szCs w:val="22"/>
                    </w:rPr>
                    <w:t xml:space="preserve">NIF: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F7F7F"/>
                      <w:sz w:val="22"/>
                      <w:szCs w:val="22"/>
                    </w:rPr>
                    <w:t xml:space="preserve">_______________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pPr>
                    <w:spacing w:before="80" w:after="10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2"/>
                      <w:szCs w:val="22"/>
                    </w:rPr>
                    <w:t xml:space="preserve">Serviço/Produto Contratado: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F7F7F"/>
                      <w:sz w:val="22"/>
                      <w:szCs w:val="22"/>
                    </w:rPr>
                    <w:t xml:space="preserve">__________________________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pPr>
                    <w:spacing w:before="80" w:after="10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3864"/>
                      <w:sz w:val="22"/>
                      <w:szCs w:val="22"/>
                    </w:rPr>
                    <w:t xml:space="preserve">Data: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7F7F7F"/>
                      <w:sz w:val="22"/>
                      <w:szCs w:val="22"/>
                    </w:rPr>
                    <w:t xml:space="preserve">___/___/______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O presente addendum contratual estabelece as obrigações mínimas de cibersegurança que o Fornecedor assume perante o Cliente, nos termos do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Art. 21.º §2(d) da Diretiva (UE) 2022/2555 (NIS2)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 e do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Decreto-Lei n.º 125/2025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. Estas cláusulas complementam e prevalecem sobre quaisquer disposições genéricas de segurança já existentes no contrato principal.</w:t>
      </w:r>
    </w:p>
    <w:p>
      <w:pPr>
        <w:spacing w:before="8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As 5 cláusulas seguintes são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obrigatórias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 para todos os fornecedores classificados como CRÍTICOS ou IMPORTANTES no Inventário TPRM da empresa.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B0000" w:sz="3"/>
              <w:left w:val="single" w:color="9B0000" w:sz="3"/>
              <w:bottom w:val="single" w:color="9B0000" w:sz="3"/>
              <w:right w:val="single" w:color="9B0000" w:sz="3"/>
            </w:tcBorders>
            <w:shd w:fill="9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CLÁUSULA 1 — NOTIFICAÇÃO OBRIGATÓRIA DE INCIDENTES DE SEGURANÇA</w:t>
            </w:r>
          </w:p>
        </w:tc>
      </w:tr>
      <w:tr>
        <w:tc>
          <w:tcPr>
            <w:tcBorders>
              <w:top w:val="single" w:color="9B0000" w:sz="2"/>
              <w:left w:val="single" w:color="9B0000" w:sz="2"/>
              <w:bottom w:val="single" w:color="9B0000" w:sz="2"/>
              <w:right w:val="single" w:color="9B0000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obriga-se a notificar o Cliente de qualquer incidente de segurança que afecte, ou que possa razoavelmente afectar,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confidencialidade, integridade ou disponibilidade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dos dados, sistemas ou serviços do Cliente.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 notificação deve ser efectuada: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No prazo máximo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24 horas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após a detecção do incidente, por meio electrónico (email para o CISO do Cliente ou outro contacto designado)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Incluir obrigatoriamente: (a) natureza do incidente; (b) sistemas e dados potencialmente afectados; (c) impacto estimado para o Cliente; (d) medidas de contenção já implementadas; (e) ponto de contacto do Fornecedor para acompanhamento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Actualizar o Cliente com informação adicional à medida que a investigação progride, com frequência mínima de 24 horas enquanto o incidente estiver activo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2E75B6" w:sz="2"/>
                    <w:left w:val="single" w:color="2E75B6" w:sz="2"/>
                    <w:bottom w:val="single" w:color="2E75B6" w:sz="2"/>
                    <w:right w:val="single" w:color="2E75B6" w:sz="2"/>
                  </w:tcBorders>
                  <w:shd w:fill="EBF3FB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0"/>
                      <w:szCs w:val="20"/>
                    </w:rPr>
                    <w:t xml:space="preserve">💡 PORQUÊ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2E75B6"/>
                      <w:sz w:val="20"/>
                      <w:szCs w:val="20"/>
                    </w:rPr>
                    <w:t xml:space="preserve">Esta cláusula garante que o Cliente cumpre os prazos de notificação ao CNCS (24h/72h) mesmo quando o incidente origina no Fornecedor.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CLÁUSULA 2 — DIREITO DE AUDITORIA E VERIFICAÇÃO DE CONFORMIDADE</w:t>
            </w:r>
          </w:p>
        </w:tc>
      </w:tr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Cliente reserva-se o direito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verificar e auditar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os controlos de segurança do Fornecedor que suportam directamente o serviço contratado, nas seguintes condições: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Auditorias anuais realizadas pelo Cliente ou por auditora independente por ele designada, mediante aviso prévio mínimo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15 dias úteis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Pedidos de informação e documentação (questionários de segurança, certificações, relatórios de pentest) a responder pelo Fornecedor no prazo máximo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20 dias úteis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Em caso de incidente grave, o Cliente pode solicitar auditoria de emergência com aviso prévio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2 dias úteis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, sendo o custo suportado pelo Fornecedor se a falha for atribuível ao Fornecedor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O Fornecedor autoriza expressamente o partilhar dos resultados da auditoria com o CNCS, sempre que legalmente exigido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2E75B6" w:sz="2"/>
                    <w:left w:val="single" w:color="2E75B6" w:sz="2"/>
                    <w:bottom w:val="single" w:color="2E75B6" w:sz="2"/>
                    <w:right w:val="single" w:color="2E75B6" w:sz="2"/>
                  </w:tcBorders>
                  <w:shd w:fill="EBF3FB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5B6"/>
                      <w:sz w:val="20"/>
                      <w:szCs w:val="20"/>
                    </w:rPr>
                    <w:t xml:space="preserve">💡 PORQUÊ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2E75B6"/>
                      <w:sz w:val="20"/>
                      <w:szCs w:val="20"/>
                    </w:rPr>
                    <w:t xml:space="preserve">O Art. 21.º NIS2 obriga a monitorização contínua dos fornecedores. Sem cláusula de auditoria, o Cliente não pode verificar as afirmações de segurança do Fornecedor.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3"/>
              <w:left w:val="single" w:color="C55A11" w:sz="3"/>
              <w:bottom w:val="single" w:color="C55A11" w:sz="3"/>
              <w:right w:val="single" w:color="C55A11" w:sz="3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CLÁUSULA 3 — MEDIDAS MÍNIMAS DE SEGURANÇA DO FORNECEDOR</w:t>
            </w:r>
          </w:p>
        </w:tc>
      </w:tr>
      <w:tr>
        <w:tc>
          <w:tcPr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declara e garante que implementa, no mínimo, as seguintes medidas de segurança para os sistemas e dados do Cliente: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Autenticação multifactor (MFA) obrigatória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para TODOS os colaboradores e sistemas com acesso a dados ou sistemas do Cliente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Gestão de patches e vulnerabilidades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: aplicação de patches críticos (CVSS ≥ 9.0) no prazo máximo de 48 horas após publicação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Controlo de acessos baseado no princípio do menor privilégio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: colaboradores do Fornecedor têm apenas os acessos estritamente necessários para prestar o serviço contratado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Backup e recuperação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: backups diários dos dados do Cliente com teste de restauro trimestral documentado. RTO máximo de 4 horas para serviços críticos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Encriptação em trânsito e em repouso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: todos os dados do Cliente encriptados com algoritmos actuais (TLS 1.3, AES-256)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Registos (logs) de auditoria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: manutenção de logs de todos os acessos e operações nos dados do Cliente, com retenção mínima de 12 meses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compromete-se a manter evidência documental de todas as medidas acima e a disponibilizá-la ao Cliente mediante solicitação.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55A11" w:sz="2"/>
                    <w:left w:val="single" w:color="C55A11" w:sz="2"/>
                    <w:bottom w:val="single" w:color="C55A11" w:sz="2"/>
                    <w:right w:val="single" w:color="C55A11" w:sz="2"/>
                  </w:tcBorders>
                  <w:shd w:fill="FCE4D6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0"/>
                      <w:szCs w:val="20"/>
                    </w:rPr>
                    <w:t xml:space="preserve">💡 PORQUÊ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C55A11"/>
                      <w:sz w:val="20"/>
                      <w:szCs w:val="20"/>
                    </w:rPr>
                    <w:t xml:space="preserve">Define o nível mínimo de segurança que o Fornecedor deve manter, criando base jurídica para rescisão se não cumprido.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07800" w:sz="3"/>
              <w:left w:val="single" w:color="A07800" w:sz="3"/>
              <w:bottom w:val="single" w:color="A07800" w:sz="3"/>
              <w:right w:val="single" w:color="A07800" w:sz="3"/>
            </w:tcBorders>
            <w:shd w:fill="A07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CLÁUSULA 4 — GESTÃO DE SUBFORNECEDORES (FOURTH-PARTY RISK)</w:t>
            </w:r>
          </w:p>
        </w:tc>
      </w:tr>
      <w:tr>
        <w:tc>
          <w:tcPr>
            <w:tcBorders>
              <w:top w:val="single" w:color="A07800" w:sz="2"/>
              <w:left w:val="single" w:color="A07800" w:sz="2"/>
              <w:bottom w:val="single" w:color="A07800" w:sz="2"/>
              <w:right w:val="single" w:color="A07800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reconhece que é responsável pela segurança dos seus próprios fornecedores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D3D3D"/>
                <w:sz w:val="22"/>
                <w:szCs w:val="22"/>
              </w:rPr>
              <w:t xml:space="preserve">(subfornecedores ou "quarta parte")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no que diz respeito ao serviço prestado ao Cliente.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deve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identificar e comunicar ao Cliente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todos os subfornecedores que têm acesso, directo ou indirecto, aos dados ou sistemas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Qualquer mudança de subfornecedor crítico deve ser comunicada ao Cliente com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antecedência mínima de 30 dias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, permitindo ao Cliente avaliar o risco antes da mudança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garante que os subfornecedores cumprem padrões de segurança equivalentes aos definidos na Cláusula 3 e compromete-se a auditar os seus subfornecedores críticos pelo menos anualmente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O Fornecedor garante que os seus contratos com subfornecedores incluem cláusulas de notificação de incidentes equivalentes às da Cláusula 1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A07800" w:sz="2"/>
                    <w:left w:val="single" w:color="A07800" w:sz="2"/>
                    <w:bottom w:val="single" w:color="A07800" w:sz="2"/>
                    <w:right w:val="single" w:color="A07800" w:sz="2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07800"/>
                      <w:sz w:val="20"/>
                      <w:szCs w:val="20"/>
                    </w:rPr>
                    <w:t xml:space="preserve">💡 PORQUÊ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A07800"/>
                      <w:sz w:val="20"/>
                      <w:szCs w:val="20"/>
                    </w:rPr>
                    <w:t xml:space="preserve">O risco de concentração em subfornecedores comuns (ex: AWS, Azure) pode afectar múltiplos fornecedores simultaneamente. Esta cláusula dá visibilidade ao Cliente.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C38" w:sz="3"/>
              <w:left w:val="single" w:color="1A5C38" w:sz="3"/>
              <w:bottom w:val="single" w:color="1A5C38" w:sz="3"/>
              <w:right w:val="single" w:color="1A5C38" w:sz="3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CLÁUSULA 5 — PORTABILIDADE DE DADOS E PLANO DE SAÍDA (EXIT STRATEGY)</w:t>
            </w:r>
          </w:p>
        </w:tc>
      </w:tr>
      <w:tr>
        <w:tc>
          <w:tcPr>
            <w:tcBorders>
              <w:top w:val="single" w:color="1A5C38" w:sz="2"/>
              <w:left w:val="single" w:color="1A5C38" w:sz="2"/>
              <w:bottom w:val="single" w:color="1A5C38" w:sz="2"/>
              <w:right w:val="single" w:color="1A5C38" w:sz="2"/>
            </w:tcBorders>
            <w:shd w:fill="E2F0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Fornecedor garante que, em caso de cessação do contrato por qualquer motivo, o Cliente pode recuperar todos os seus dados de forma completa, segura e em formato utilizável.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No prazo de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30 dias após notificação de cessação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, o Fornecedor entrega ao Cliente todos os dados em formato standard e aberto (ex: CSV, JSON, XML, SQL) — nunca em formato proprietário bloqueado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Após confirmação de recepção dos dados pelo Cliente, o Fornecedor deve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eliminar definitivamente todos os dados do Cliente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(incluindo backups e cópias de segurança) no prazo de 30 dias adicionais, fornecendo certificado de eliminação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O Fornecedor compromete-se a manter a disponibilidade do serviço em modo de leitura durante o período de transição, para garantir migração ordenada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O custo de exportação e migração de dados é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3D3D"/>
                <w:sz w:val="22"/>
                <w:szCs w:val="22"/>
              </w:rPr>
              <w:t xml:space="preserve">suportado pelo Fornecedor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 salvo acordo expresso em contrário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1A5C38" w:sz="2"/>
                    <w:left w:val="single" w:color="1A5C38" w:sz="2"/>
                    <w:bottom w:val="single" w:color="1A5C38" w:sz="2"/>
                    <w:right w:val="single" w:color="1A5C38" w:sz="2"/>
                  </w:tcBorders>
                  <w:shd w:fill="E2F0EA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C38"/>
                      <w:sz w:val="20"/>
                      <w:szCs w:val="20"/>
                    </w:rPr>
                    <w:t xml:space="preserve">💡 PORQUÊ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A5C38"/>
                      <w:sz w:val="20"/>
                      <w:szCs w:val="20"/>
                    </w:rPr>
                    <w:t xml:space="preserve">Garante a resiliência operacional exigida pela NIS2. Sem esta cláusula, o Cliente pode ficar "refém" de um fornecedor comprometido ou insolvente.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ACEITAÇÃO DAS CLÁUSULAS — ASSINATURAS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As partes declaram ter lido, compreendido e aceite as cláusulas NIS2 acima, que constituem parte integrante do contrato de prestação de serviços entre as mesmas.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Borders>
              <w:top w:val="nil" w:color="FFFFFF" w:sz="0"/>
              <w:left w:val="nil" w:color="FFFFFF" w:sz="0"/>
              <w:bottom w:val="single" w:color="7F7F7F" w:sz="4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PELO CLIENTE (PME)</w:t>
            </w:r>
          </w:p>
          <w:p>
            <w:pPr>
              <w:spacing w:before="12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Nome: ________________________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Cargo: ________________________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Data: ___/___/______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Borders>
              <w:top w:val="nil" w:color="FFFFFF" w:sz="0"/>
              <w:left w:val="nil" w:color="FFFFFF" w:sz="0"/>
              <w:bottom w:val="single" w:color="7F7F7F" w:sz="4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PELO FORNECEDOR</w:t>
            </w:r>
          </w:p>
          <w:p>
            <w:pPr>
              <w:spacing w:before="12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Nome: ________________________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Cargo: ________________________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Data: ___/___/______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C38" w:sz="2"/>
              <w:left w:val="single" w:color="1A5C38" w:sz="2"/>
              <w:bottom w:val="single" w:color="1A5C38" w:sz="2"/>
              <w:right w:val="single" w:color="1A5C38" w:sz="2"/>
            </w:tcBorders>
            <w:shd w:fill="E2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✅  INSTRUÇÕES DE USO DESTE TEMPLATE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Adaptar com assessoria jurídica ao contrato específico — este template é orientativo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Para fornecedores CRÍTICOS: incluir todas as 5 cláusulas. Para IMPORTANTES: mínimo cláusulas 1, 3 e 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Contratos com Microsoft, Google, AWS: verificar os DPAs existentes vs. requisitos NIS2 — normalmente cláusula 1 é a mais difícil de negociar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Arquivo: /NIS2/Fornecedores/[Nome_Fornecedor]_Clausulas_NIS2_[Data].pdf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</w:pPr>
    <w:r>
      <w:rPr>
        <w:rFonts w:ascii="Arial" w:cs="Arial" w:eastAsia="Arial" w:hAnsi="Arial"/>
        <w:i/>
        <w:iCs/>
        <w:color w:val="7F7F7F"/>
        <w:sz w:val="17"/>
        <w:szCs w:val="17"/>
      </w:rPr>
      <w:t xml:space="preserve">Art. 21.º §2(d) Diretiva NIS2  ·  DL 125/2025  ·  Template orientativo — adaptar com assessoria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7F7F7F"/>
        <w:sz w:val="18"/>
        <w:szCs w:val="18"/>
      </w:rPr>
      <w:t xml:space="preserve">TEMPLATE DE CLÁUSULAS NIS2 PARA CONTRATOS COM FORNECEDORES  |  CONFIDENCIAL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Art. 21.º NIS2  · 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2026-03-07T11:24:20.770Z</dcterms:created>
  <dcterms:modified xsi:type="dcterms:W3CDTF">2026-03-07T11:24:20.771Z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