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480" w:before="0" w:after="0"/>
        <w:ind w:hanging="0" w:left="0" w:right="0"/>
        <w:contextualSpacing/>
        <w:jc w:val="left"/>
        <w:rPr/>
      </w:pPr>
      <w:r>
        <w:rPr/>
        <w:tab/>
        <w:t>Nearly a hundred years apart, both Abraham Lincoln and Martin Luther King Jr. addressed the nation about the plight of African Americans and the condition of the United States. Lincoln spoke to a nation divided by the Civil War in his "Second Inaugural Address," whereas King wrote a letter in response to a group of Birmingham clergymen criticizing King and others for their civil disobedience and public demonstrations (Stanford University, 2017). King's "Letter from Birmingham Jail" may have been intended for smaller circulation initially, but it soon reached a national audience in the New York Post and in congressional testimony (Stanford University, 2017). Lincoln gave a brief statement for the necessity of the war and explained in biblical terms why the Union was morally right to fight against the injustice of slavery. King, in contrast, wrote at length to reason against the exhortations published against him and logically expressed his "disappointment" with the Southern churches and "white moderates" for their inaction against injustice (King Jr., 2017, p. 812). Both speak against the oppression of the "colored slave" or the "Negro," but their approaches and techniques of rhetoric are starkly different (King Jr., 2017, p. 807; Lincoln, 2017, 802).</w:t>
      </w:r>
    </w:p>
    <w:p>
      <w:pPr>
        <w:pStyle w:val="Normal"/>
        <w:spacing w:lineRule="auto" w:line="480" w:before="0" w:after="0"/>
        <w:ind w:firstLine="720" w:left="0" w:right="0"/>
        <w:contextualSpacing/>
        <w:jc w:val="left"/>
        <w:rPr/>
      </w:pPr>
      <w:r>
        <w:rPr/>
        <w:t>Lincoln spoke very little at his second inauguration keeping his speech under seven hundred words. In his opening sentence, he makes a case for brevity, relating how "public declarations have been constantly called forth on every point and phase of the great contest," and as such, there is no need for much more to be said (Lincoln, 2017, p. 801). In his address, he constrains himself to only two arguments: that the southern states brought the country to war, and that the Union is morally right in opposing slavery.</w:t>
      </w:r>
    </w:p>
    <w:p>
      <w:pPr>
        <w:pStyle w:val="Normal"/>
        <w:spacing w:lineRule="auto" w:line="480" w:before="0" w:after="0"/>
        <w:ind w:firstLine="720" w:left="0" w:right="0"/>
        <w:contextualSpacing/>
        <w:jc w:val="left"/>
        <w:rPr/>
      </w:pPr>
      <w:r>
        <w:rPr/>
        <w:t>His assertion that the Union has the moral right to defeat the Confederacy and abolish slavery is based purely on religious grounds. He states that each side "read[s] the same Bible, and pray[s] to the same God; and each invokes His aid against the other" (Lincoln, 2017, p. 802). Lincoln then alludes to or directly quotes four passages from the Bible to support his claim. With a damning rebuke, he asks how "any men should dare to ask a just God's assistance in wringing their bread from the sweat of other men's faces," with reference to Genesis 3.19 (Lincoln, 2017, p. 802).</w:t>
      </w:r>
    </w:p>
    <w:p>
      <w:pPr>
        <w:pStyle w:val="Normal"/>
        <w:spacing w:lineRule="auto" w:line="480" w:before="0" w:after="0"/>
        <w:ind w:firstLine="720" w:left="0" w:right="0"/>
        <w:contextualSpacing/>
        <w:jc w:val="left"/>
        <w:rPr/>
      </w:pPr>
      <w:r>
        <w:rPr/>
        <w:t>King, too, refers to God regarding justice. He explains the difference between just laws and unjust laws by stating that "a just law is a man-made code that squares with the moral law or the law of God" (King Jr., 2017, p. 810). However, even though by his admission he is "the son, the grandson, and the great-grandson of preachers" and that he "love[s] the church," contrary to Lincoln's speech, he primarily uses logic to support his arguments and not the Bible (King Jr., 2017, p. 816).</w:t>
      </w:r>
    </w:p>
    <w:p>
      <w:pPr>
        <w:pStyle w:val="Normal"/>
        <w:spacing w:lineRule="auto" w:line="480" w:before="0" w:after="0"/>
        <w:ind w:firstLine="720" w:left="0" w:right="0"/>
        <w:contextualSpacing/>
        <w:jc w:val="left"/>
        <w:rPr/>
      </w:pPr>
      <w:r>
        <w:rPr/>
        <w:t>For instance, he does not rest his argument about just laws solely on God's providence but restates his case with multiple examples and supports it with statements from a diverse group of philosophers. He asserts that "an unjust law is a code that a numerical or power majority group compels a minority group to obey but does not make binding on itself" (King Jr., 2017, p. 811). He also points out that "a law is unjust if it is inflicted on a minority that, as a result of being denied the right to vote, had no part in enacting or devising the law" (King Jr., 2017, p. 811). As a result, such a law would be undemocratic (King Jr., 2017, p. 811). He goes further and shows how a just law can be used unjustly to uphold inequitable conditions with an example of how permit ordinances for parades have been used to prohibit peaceful public demonstrations (King Jr., 2017, p. 811).</w:t>
      </w:r>
    </w:p>
    <w:p>
      <w:pPr>
        <w:pStyle w:val="Normal"/>
        <w:spacing w:lineRule="auto" w:line="480" w:before="0" w:after="0"/>
        <w:ind w:firstLine="720" w:left="0" w:right="0"/>
        <w:contextualSpacing/>
        <w:jc w:val="left"/>
        <w:rPr/>
      </w:pPr>
      <w:r>
        <w:rPr/>
        <w:t>King's letter is multi-pronged, addressing fellow clergymen, Southern churches as organizations, and the "white moderates" of the United States. Its purpose is wide-ranging as well. He responds to multiple criticisms of being an outside agitator, not negotiating, not waiting for a more conducive time, of illegalities, of causing violence, and of being an extremist. To each accusation, King responds methodically with logic and an extensive understanding of history, ethics, and public affairs. He then pivots from defending his actions and goes on to admonish with "disappointment" each of the groups he petitions (King Jr., 2017, pp. 808, 812, 815 &amp; 816).</w:t>
      </w:r>
    </w:p>
    <w:p>
      <w:pPr>
        <w:pStyle w:val="Normal"/>
        <w:spacing w:lineRule="auto" w:line="480" w:before="0" w:after="0"/>
        <w:ind w:firstLine="720" w:left="0" w:right="0"/>
        <w:contextualSpacing/>
        <w:jc w:val="left"/>
        <w:rPr/>
      </w:pPr>
      <w:r>
        <w:rPr/>
        <w:t>Although both Lincoln and King address the offense that is the African American's standing in each one's era, King's letter has more in common with Women's Sufferage leader, Elizabeth Cady Stanton's "Declaration of Sentiments and Resolutions," than Lincoln's speech. Stanton speaks of the "patient sufferance of the women," and King pleads against the clergymen's request for patience with a "cup of endurance [that] runs over" (King Jr., 2017, p. 810; Stanton, 2017, 784). Stanton also makes the argument against the undemocratic practice of "compell[ing] her to submit to laws, in the formation of which she had no voice" (Stanton, 2017, p. 784). Finally, in Stanton's conclusion, she summarizes the grievances of women she had spoken of as "unjust laws" (Stanton, 2017, p. 785).</w:t>
      </w:r>
    </w:p>
    <w:p>
      <w:pPr>
        <w:pStyle w:val="Normal"/>
        <w:spacing w:lineRule="auto" w:line="480" w:before="0" w:after="0"/>
        <w:ind w:firstLine="720" w:left="0" w:right="0"/>
        <w:contextualSpacing/>
        <w:jc w:val="left"/>
        <w:rPr/>
      </w:pPr>
      <w:r>
        <w:rPr/>
        <w:t>King does at one point invoke Abraham Lincoln with his words: "This nation cannot survive half slave and half free" (King Jr., 2017, p. 814). However, a comparison of Lincoln's "Second Inaugural Address" and King's "Letter from Birmingham Jail" reveals superficial, one-dimensional thinking on the part of Lincoln and multi-dimensional, in-depth reasoning on the part of King. One senses a weariness, worn heavy by Lincoln, woven from the strain of war. King, on the other hand, exudes dexterity of thought, and the endurance of a cross-country locomotive. Both spoke or wrote during national crises of conscience, but the textual differences also speak to each as individuals in circumstances unique.</w:t>
      </w:r>
      <w:r>
        <w:br w:type="page"/>
      </w:r>
    </w:p>
    <w:p>
      <w:pPr>
        <w:pStyle w:val="Normal"/>
        <w:spacing w:lineRule="auto" w:line="480" w:before="0" w:after="0"/>
        <w:contextualSpacing/>
        <w:jc w:val="center"/>
        <w:rPr/>
      </w:pPr>
      <w:r>
        <w:rPr/>
        <w:t>References</w:t>
      </w:r>
    </w:p>
    <w:p>
      <w:pPr>
        <w:pStyle w:val="Normal"/>
        <w:tabs>
          <w:tab w:val="clear" w:pos="420"/>
        </w:tabs>
        <w:spacing w:lineRule="auto" w:line="480" w:before="0" w:after="0"/>
        <w:ind w:hanging="720" w:left="720" w:right="0"/>
        <w:contextualSpacing/>
        <w:jc w:val="left"/>
        <w:rPr/>
      </w:pPr>
      <w:r>
        <w:rPr/>
        <w:t xml:space="preserve">King Jr., M. L. (2017). Letter from Birmingham Jail. In M. A. Goldthwaite, J. Bizup, J. C. Brereton, A. E. Fernald, &amp; L. H. Peterson (Eds.), </w:t>
      </w:r>
      <w:r>
        <w:rPr>
          <w:i/>
        </w:rPr>
        <w:t>The Norton Reader: An Anthology of Nonfiction</w:t>
      </w:r>
      <w:r>
        <w:rPr/>
        <w:t xml:space="preserve"> (14th ed., pp. 806–819). New York: W. W. Norton &amp; Company.</w:t>
      </w:r>
    </w:p>
    <w:p>
      <w:pPr>
        <w:pStyle w:val="Normal"/>
        <w:spacing w:lineRule="auto" w:line="480"/>
        <w:ind w:hanging="720" w:left="720" w:right="0"/>
        <w:rPr/>
      </w:pPr>
      <w:r>
        <w:rPr/>
        <w:t xml:space="preserve">Lincoln, A. (2017). Second Inaugural Address. In M. A. Goldthwaite, J. Bizup, J. C. Brereton, A. E. Fernald, &amp; L. H. Peterson (Eds.), </w:t>
      </w:r>
      <w:r>
        <w:rPr>
          <w:i/>
        </w:rPr>
        <w:t>The Norton Reader: An Anthology of Nonfiction</w:t>
      </w:r>
      <w:r>
        <w:rPr/>
        <w:t xml:space="preserve"> (14th ed., pp. 801–802). New York: W. W. Norton &amp; Company.</w:t>
      </w:r>
    </w:p>
    <w:p>
      <w:pPr>
        <w:pStyle w:val="Normal"/>
        <w:spacing w:lineRule="auto" w:line="480"/>
        <w:ind w:hanging="720" w:left="720" w:right="0"/>
        <w:rPr/>
      </w:pPr>
      <w:r>
        <w:rPr/>
        <w:t>Stanford University. (2017, May 17). Letter from Birmingham Jail. Retrieved August 11, 2019, from King Encyclopedia website: https://kinginstitute.stanford.edu/encyclopedia/letter-birmingham-jail</w:t>
      </w:r>
    </w:p>
    <w:p>
      <w:pPr>
        <w:pStyle w:val="Normal"/>
        <w:spacing w:lineRule="auto" w:line="480"/>
        <w:ind w:hanging="720" w:left="720" w:right="0"/>
        <w:rPr/>
      </w:pPr>
      <w:r>
        <w:rPr/>
        <w:t xml:space="preserve">Stanton, E. C. (2017). Declaration of Sentiments and Resolutions. In M. A. Goldthwaite, J. Bizup, J. C. Brereton, A. E. Fernald, &amp; L. H. Peterson (Eds.), </w:t>
      </w:r>
      <w:r>
        <w:rPr>
          <w:i/>
        </w:rPr>
        <w:t>The Norton Reader: An Anthology of Nonfiction</w:t>
      </w:r>
      <w:r>
        <w:rPr/>
        <w:t xml:space="preserve"> (14th ed., pp. 784–786). New York: W. W. Norton &amp; Company.</w:t>
      </w:r>
    </w:p>
    <w:p>
      <w:pPr>
        <w:pStyle w:val="Normal"/>
        <w:tabs>
          <w:tab w:val="clear" w:pos="420"/>
        </w:tabs>
        <w:spacing w:lineRule="auto" w:line="480" w:before="0" w:after="0"/>
        <w:ind w:hanging="720" w:left="720" w:right="0"/>
        <w:contextualSpacing/>
        <w:jc w:val="left"/>
        <w:rPr/>
      </w:pPr>
      <w:r>
        <w:rPr/>
      </w:r>
    </w:p>
    <w:sectPr>
      <w:headerReference w:type="even" r:id="rId2"/>
      <w:headerReference w:type="default" r:id="rId3"/>
      <w:headerReference w:type="first" r:id="rId4"/>
      <w:type w:val="nextPage"/>
      <w:pgSz w:w="12240" w:h="15840"/>
      <w:pgMar w:left="1440" w:right="1440" w:gutter="0" w:header="0" w:top="1440" w:footer="0" w:bottom="1440"/>
      <w:pgNumType w:fmt="decimal"/>
      <w:formProt w:val="false"/>
      <w:titlePg/>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Lohit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left"/>
    </w:pPr>
    <w:rPr>
      <w:rFonts w:ascii="Liberation Serif" w:hAnsi="Liberation Serif" w:eastAsia="AR PL SungtiL GB" w:cs="Lohit Devanagari"/>
      <w:color w:val="auto"/>
      <w:kern w:val="2"/>
      <w:sz w:val="24"/>
      <w:szCs w:val="24"/>
      <w:lang w:val="en-US" w:eastAsia="zh-CN" w:bidi="hi-IN"/>
    </w:rPr>
  </w:style>
  <w:style w:type="paragraph" w:styleId="Heading1">
    <w:name w:val="Heading 1"/>
    <w:basedOn w:val="Normal"/>
    <w:next w:val="BodyText"/>
    <w:qFormat/>
    <w:pPr>
      <w:numPr>
        <w:ilvl w:val="0"/>
        <w:numId w:val="1"/>
      </w:numPr>
      <w:spacing w:before="240" w:after="120"/>
      <w:jc w:val="center"/>
      <w:outlineLvl w:val="0"/>
    </w:pPr>
    <w:rPr>
      <w:b/>
      <w:bCs/>
      <w:sz w:val="24"/>
      <w:szCs w:val="31"/>
    </w:rPr>
  </w:style>
  <w:style w:type="paragraph" w:styleId="Heading2">
    <w:name w:val="Heading 2"/>
    <w:basedOn w:val="Heading1"/>
    <w:next w:val="BodyText"/>
    <w:qFormat/>
    <w:pPr>
      <w:numPr>
        <w:ilvl w:val="1"/>
        <w:numId w:val="1"/>
      </w:numPr>
      <w:spacing w:before="200" w:after="120"/>
      <w:jc w:val="left"/>
      <w:outlineLvl w:val="1"/>
    </w:pPr>
    <w:rPr>
      <w:b/>
      <w:bCs/>
      <w:sz w:val="24"/>
      <w:szCs w:val="36"/>
    </w:rPr>
  </w:style>
  <w:style w:type="paragraph" w:styleId="Heading3">
    <w:name w:val="Heading 3"/>
    <w:basedOn w:val="Heading2"/>
    <w:next w:val="BodyText"/>
    <w:qFormat/>
    <w:pPr>
      <w:numPr>
        <w:ilvl w:val="2"/>
        <w:numId w:val="1"/>
      </w:numPr>
      <w:spacing w:before="140" w:after="120"/>
      <w:ind w:hanging="0" w:left="720" w:right="0"/>
      <w:outlineLvl w:val="2"/>
    </w:pPr>
    <w:rPr>
      <w:b/>
      <w:bCs/>
      <w:sz w:val="24"/>
      <w:szCs w:val="36"/>
    </w:rPr>
  </w:style>
  <w:style w:type="paragraph" w:styleId="Heading4">
    <w:name w:val="Heading 4"/>
    <w:basedOn w:val="Heading3"/>
    <w:next w:val="BodyText"/>
    <w:qFormat/>
    <w:pPr>
      <w:numPr>
        <w:ilvl w:val="3"/>
        <w:numId w:val="1"/>
      </w:numPr>
      <w:spacing w:before="120" w:after="120"/>
      <w:outlineLvl w:val="3"/>
    </w:pPr>
    <w:rPr>
      <w:b/>
      <w:bCs/>
      <w:i/>
      <w:iCs/>
      <w:sz w:val="23"/>
      <w:szCs w:val="34"/>
    </w:rPr>
  </w:style>
  <w:style w:type="paragraph" w:styleId="Heading5">
    <w:name w:val="Heading 5"/>
    <w:basedOn w:val="Heading4"/>
    <w:next w:val="BodyText"/>
    <w:qFormat/>
    <w:pPr>
      <w:numPr>
        <w:ilvl w:val="4"/>
        <w:numId w:val="1"/>
      </w:numPr>
      <w:spacing w:before="120" w:after="60"/>
      <w:outlineLvl w:val="4"/>
    </w:pPr>
    <w:rPr>
      <w:b w:val="false"/>
      <w:bCs/>
      <w:sz w:val="19"/>
      <w:szCs w:val="29"/>
    </w:rPr>
  </w:style>
  <w:style w:type="character" w:styleId="Hyperlink">
    <w:name w:val="Hyperlink"/>
    <w:rPr>
      <w:color w:val="000080"/>
      <w:u w:val="single"/>
      <w:lang w:val="zxx" w:eastAsia="zxx" w:bidi="zxx"/>
    </w:rPr>
  </w:style>
  <w:style w:type="paragraph" w:styleId="Heading">
    <w:name w:val="Heading"/>
    <w:basedOn w:val="Normal"/>
    <w:next w:val="BodyText"/>
    <w:qFormat/>
    <w:pPr>
      <w:keepNext w:val="true"/>
      <w:spacing w:before="240" w:after="120"/>
    </w:pPr>
    <w:rPr>
      <w:rFonts w:ascii="Liberation Sans" w:hAnsi="Liberation Sans" w:eastAsia="AR PL SungtiL GB"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pPr>
      <w:suppressLineNumbers/>
      <w:tabs>
        <w:tab w:val="clear" w:pos="420"/>
        <w:tab w:val="center" w:pos="4986" w:leader="none"/>
        <w:tab w:val="right" w:pos="9972" w:leader="none"/>
      </w:tabs>
      <w:jc w:val="left"/>
    </w:pPr>
    <w:rPr>
      <w:b w:val="false"/>
    </w:rPr>
  </w:style>
  <w:style w:type="paragraph" w:styleId="Title">
    <w:name w:val="Title"/>
    <w:basedOn w:val="BodyText"/>
    <w:next w:val="BodyText"/>
    <w:qFormat/>
    <w:pPr>
      <w:jc w:val="center"/>
    </w:pPr>
    <w:rPr>
      <w:b w:val="false"/>
      <w:bCs/>
      <w:sz w:val="24"/>
      <w:szCs w:val="56"/>
    </w:rPr>
  </w:style>
  <w:style w:type="paragraph" w:styleId="Subtitle">
    <w:name w:val="Subtitle"/>
    <w:basedOn w:val="Normal"/>
    <w:next w:val="BodyText"/>
    <w:qFormat/>
    <w:pPr>
      <w:spacing w:before="60" w:after="120"/>
      <w:jc w:val="center"/>
    </w:pPr>
    <w:rPr>
      <w:sz w:val="24"/>
      <w:szCs w:val="36"/>
    </w:rPr>
  </w:style>
  <w:style w:type="paragraph" w:styleId="Text">
    <w:name w:val="Text"/>
    <w:basedOn w:val="Caption"/>
    <w:qFormat/>
    <w:pPr/>
    <w:rPr/>
  </w:style>
  <w:style w:type="paragraph" w:styleId="BlockQuotation">
    <w:name w:val="Block Quotation"/>
    <w:basedOn w:val="Normal"/>
    <w:qFormat/>
    <w:pPr>
      <w:spacing w:before="0" w:after="283"/>
      <w:ind w:hanging="0" w:left="567" w:righ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100</TotalTime>
  <Application>LibreOffice/24.2.7.2$Linux_X86_64 LibreOffice_project/420$Build-2</Application>
  <AppVersion>15.0000</AppVersion>
  <Pages>4</Pages>
  <Words>1121</Words>
  <Characters>5721</Characters>
  <CharactersWithSpaces>6827</CharactersWithSpaces>
  <Paragraphs>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2018-09-15T19:09:46Z</dcterms:created>
  <dc:creator>Charles Fewlass</dc:creator>
  <dc:description/>
  <dc:language>en-US</dc:language>
  <cp:lastModifiedBy/>
  <cp:lastPrinted>2019-08-11T23:30:19Z</cp:lastPrinted>
  <dcterms:modified xsi:type="dcterms:W3CDTF">2026-07-05T21:49:13Z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