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24AC" w14:textId="5A8E65B9" w:rsidR="00F72B14" w:rsidRPr="005D7CC5" w:rsidRDefault="005D7CC5" w:rsidP="005D7CC5">
      <w:pPr>
        <w:jc w:val="both"/>
        <w:rPr>
          <w:rFonts w:ascii="Times New Roman" w:hAnsi="Times New Roman" w:cs="Times New Roman"/>
          <w:sz w:val="24"/>
          <w:szCs w:val="24"/>
        </w:rPr>
      </w:pPr>
      <w:r w:rsidRPr="005D7CC5">
        <w:rPr>
          <w:rFonts w:ascii="Times New Roman" w:hAnsi="Times New Roman" w:cs="Times New Roman"/>
          <w:sz w:val="24"/>
          <w:szCs w:val="24"/>
        </w:rPr>
        <w:t>The purpose of this experiment is to examine whether the previously observed relationship between exploration and system performance remains stable when the scaling analysis is extended beyond a small number of configurations. Earlier experiments tested only a limited set of ratio-preserving systems, which suggested that the best-performing ε remained close to 0.05–0.10 under a fixed agent-to-arm ratio of 1:3. The current experiment expands this analysis to a continuous scaling family from 1 agent with 3 arms up to 30 agents with 90 arms.</w:t>
      </w:r>
    </w:p>
    <w:p w14:paraId="68BC82E5" w14:textId="23E14E03" w:rsidR="005D7CC5" w:rsidRPr="005D7CC5" w:rsidRDefault="005D7CC5" w:rsidP="005D7CC5">
      <w:pPr>
        <w:jc w:val="both"/>
        <w:rPr>
          <w:rFonts w:ascii="Times New Roman" w:hAnsi="Times New Roman" w:cs="Times New Roman"/>
          <w:sz w:val="24"/>
          <w:szCs w:val="24"/>
        </w:rPr>
      </w:pPr>
      <w:r w:rsidRPr="005D7CC5">
        <w:rPr>
          <w:rFonts w:ascii="Times New Roman" w:hAnsi="Times New Roman" w:cs="Times New Roman"/>
          <w:sz w:val="24"/>
          <w:szCs w:val="24"/>
        </w:rPr>
        <w:t>The main objective is to determine whether the optimal exploration rate remains stable as the absolute size of the system increases, or whether gradual changes emerge that were not visible in smaller experiments. If the best ε remains approximately constant across the full range of configurations, this would support the hypothesis that the exploration–coordination trade-off is scale-invariant under a fixed crowding ratio. If the best ε shifts systematically with larger values of n, this would indicate that absolute system size introduces additional coordination effects beyond simple density.</w:t>
      </w:r>
    </w:p>
    <w:p w14:paraId="64A25224" w14:textId="12C5BD8D" w:rsidR="005D7CC5" w:rsidRPr="005D7CC5" w:rsidRDefault="005D7CC5" w:rsidP="005D7CC5">
      <w:pPr>
        <w:jc w:val="both"/>
        <w:rPr>
          <w:rFonts w:ascii="Times New Roman" w:hAnsi="Times New Roman" w:cs="Times New Roman"/>
          <w:sz w:val="24"/>
          <w:szCs w:val="24"/>
        </w:rPr>
      </w:pPr>
      <w:r w:rsidRPr="005D7CC5">
        <w:rPr>
          <w:rFonts w:ascii="Times New Roman" w:hAnsi="Times New Roman" w:cs="Times New Roman"/>
          <w:sz w:val="24"/>
          <w:szCs w:val="24"/>
        </w:rPr>
        <w:t>The experiment uses a constant agent-to-arm ratio of 1:3, ensuring that resource availability per agent is held fixed while the total number of agents and arms increases. The collision policy remains linear sharing, meaning that when multiple agents select the same arm, the sampled reward is divided equally among them. This preserves continuity with earlier experiments and isolates the effect of scaling rather than changing the reward rule.</w:t>
      </w:r>
    </w:p>
    <w:p w14:paraId="31314C51" w14:textId="470575FB" w:rsidR="005D7CC5" w:rsidRPr="005D7CC5" w:rsidRDefault="005D7CC5" w:rsidP="005D7CC5">
      <w:pPr>
        <w:jc w:val="both"/>
        <w:rPr>
          <w:rFonts w:ascii="Times New Roman" w:hAnsi="Times New Roman" w:cs="Times New Roman"/>
          <w:sz w:val="24"/>
          <w:szCs w:val="24"/>
        </w:rPr>
      </w:pPr>
      <w:r w:rsidRPr="005D7CC5">
        <w:rPr>
          <w:rFonts w:ascii="Times New Roman" w:hAnsi="Times New Roman" w:cs="Times New Roman"/>
          <w:sz w:val="24"/>
          <w:szCs w:val="24"/>
        </w:rPr>
        <w:t>All agents use independent single-agent ε-greedy strategies with no communication or awareness of other agents. The reward structure is generated using a smooth non-repeated distribution of arm means for each configuration, avoiding artificial symmetry from repeated arm patterns while maintaining comparability across scales. All arms use a fixed standard deviation of 1.0.</w:t>
      </w:r>
    </w:p>
    <w:p w14:paraId="5E8CF9C6" w14:textId="378BFB05" w:rsidR="005D7CC5" w:rsidRPr="005D7CC5" w:rsidRDefault="005D7CC5" w:rsidP="005D7CC5">
      <w:pPr>
        <w:jc w:val="both"/>
        <w:rPr>
          <w:rFonts w:ascii="Times New Roman" w:hAnsi="Times New Roman" w:cs="Times New Roman"/>
          <w:sz w:val="24"/>
          <w:szCs w:val="24"/>
        </w:rPr>
      </w:pPr>
      <w:r w:rsidRPr="005D7CC5">
        <w:rPr>
          <w:rFonts w:ascii="Times New Roman" w:hAnsi="Times New Roman" w:cs="Times New Roman"/>
          <w:sz w:val="24"/>
          <w:szCs w:val="24"/>
        </w:rPr>
        <w:t>The experiment evaluates a dense set of ε values ranging from 0.00 to 0.50, allowing a more precise estimate of the reward-maximizing exploration rate than in previous experiments. Each condition is repeated across multiple random seeds to ensure robust averages. The main performance metric is cumulative group reward, while collision rate, average reward per agent, and reward inequality are also recorded.</w:t>
      </w:r>
    </w:p>
    <w:p w14:paraId="10722A42" w14:textId="61571059" w:rsidR="008843D9" w:rsidRDefault="005D7CC5" w:rsidP="005D7CC5">
      <w:pPr>
        <w:jc w:val="both"/>
        <w:rPr>
          <w:rFonts w:ascii="Times New Roman" w:hAnsi="Times New Roman" w:cs="Times New Roman"/>
          <w:sz w:val="24"/>
          <w:szCs w:val="24"/>
        </w:rPr>
      </w:pPr>
      <w:r w:rsidRPr="005D7CC5">
        <w:rPr>
          <w:rFonts w:ascii="Times New Roman" w:hAnsi="Times New Roman" w:cs="Times New Roman"/>
          <w:sz w:val="24"/>
          <w:szCs w:val="24"/>
        </w:rPr>
        <w:t>The key output of interest is the relationship between the best-performing ε and the number of agents n. A flat relationship would suggest stable scaling behaviour, whereas a trend or regime change would imply that coordination demands evolve as decentralized systems grow larger. This experiment therefore serves as a more rigorous test of whether the earlier findings represent a general property or only a small-scale effect.</w:t>
      </w:r>
    </w:p>
    <w:p w14:paraId="4BA0E37B" w14:textId="77777777" w:rsidR="001B40E0" w:rsidRDefault="001B40E0" w:rsidP="005D7CC5">
      <w:pPr>
        <w:jc w:val="both"/>
        <w:rPr>
          <w:rFonts w:ascii="Times New Roman" w:hAnsi="Times New Roman" w:cs="Times New Roman"/>
          <w:sz w:val="24"/>
          <w:szCs w:val="24"/>
        </w:rPr>
      </w:pPr>
    </w:p>
    <w:p w14:paraId="1DCA03DE" w14:textId="70395891" w:rsidR="001B40E0" w:rsidRPr="001B40E0" w:rsidRDefault="001B40E0" w:rsidP="005D7CC5">
      <w:pPr>
        <w:jc w:val="both"/>
        <w:rPr>
          <w:rFonts w:ascii="Times New Roman" w:hAnsi="Times New Roman" w:cs="Times New Roman"/>
          <w:b/>
          <w:bCs/>
          <w:sz w:val="28"/>
          <w:szCs w:val="28"/>
        </w:rPr>
      </w:pPr>
      <w:r w:rsidRPr="001B40E0">
        <w:rPr>
          <w:rFonts w:ascii="Times New Roman" w:hAnsi="Times New Roman" w:cs="Times New Roman"/>
          <w:b/>
          <w:bCs/>
          <w:sz w:val="28"/>
          <w:szCs w:val="28"/>
        </w:rPr>
        <w:t>Results:</w:t>
      </w:r>
    </w:p>
    <w:p w14:paraId="4A522303" w14:textId="58016D8B" w:rsidR="001B40E0" w:rsidRPr="001B40E0" w:rsidRDefault="001B40E0" w:rsidP="001B40E0">
      <w:pPr>
        <w:jc w:val="both"/>
        <w:rPr>
          <w:rFonts w:ascii="Times New Roman" w:hAnsi="Times New Roman" w:cs="Times New Roman"/>
          <w:sz w:val="24"/>
          <w:szCs w:val="24"/>
        </w:rPr>
      </w:pPr>
      <w:r w:rsidRPr="001B40E0">
        <w:rPr>
          <w:rFonts w:ascii="Times New Roman" w:hAnsi="Times New Roman" w:cs="Times New Roman"/>
          <w:sz w:val="24"/>
          <w:szCs w:val="24"/>
        </w:rPr>
        <w:t>The extended scaling experiment (from 1 agent:3 arms up to 30 agents:90 arms under linear collision sharing) provides much clearer evidence than the earlier small-scale tests. Across all configurations, system performance follows the same qualitative shape: very low reward at ε = 0, a rapid improvement once a small amount of exploration is introduced, a broad maximum at moderate ε values, and a gradual decline when ε becomes too large. This confirms that the exploration–coordination trade-off is robust and persists as the system grows.</w:t>
      </w:r>
    </w:p>
    <w:p w14:paraId="02850B67" w14:textId="175729B8" w:rsidR="001B40E0" w:rsidRPr="001B40E0" w:rsidRDefault="001B40E0" w:rsidP="001B40E0">
      <w:pPr>
        <w:jc w:val="both"/>
        <w:rPr>
          <w:rFonts w:ascii="Times New Roman" w:hAnsi="Times New Roman" w:cs="Times New Roman"/>
          <w:sz w:val="24"/>
          <w:szCs w:val="24"/>
        </w:rPr>
      </w:pPr>
      <w:r w:rsidRPr="001B40E0">
        <w:rPr>
          <w:rFonts w:ascii="Times New Roman" w:hAnsi="Times New Roman" w:cs="Times New Roman"/>
          <w:sz w:val="24"/>
          <w:szCs w:val="24"/>
        </w:rPr>
        <w:lastRenderedPageBreak/>
        <w:t>The most important result is that the optimal ε remains highly stable across scale. The best-performing values lie in a narrow interval between approximately 0.06 and 0.10 for all configurations, with most larger systems clustering around 0.06–0.08. This strongly supports the scaling hypothesis that, when the agent-to-arm ratio is fixed at 1:3, the exploration level required for good collective performance does not increase with system size. In practical terms, larger decentralized systems do not need proportionally more exploration than smaller ones.</w:t>
      </w:r>
    </w:p>
    <w:p w14:paraId="0C698474" w14:textId="05E83BF5" w:rsidR="001B40E0" w:rsidRPr="001B40E0" w:rsidRDefault="001B40E0" w:rsidP="001B40E0">
      <w:pPr>
        <w:jc w:val="both"/>
        <w:rPr>
          <w:rFonts w:ascii="Times New Roman" w:hAnsi="Times New Roman" w:cs="Times New Roman"/>
          <w:sz w:val="24"/>
          <w:szCs w:val="24"/>
        </w:rPr>
      </w:pPr>
      <w:r w:rsidRPr="001B40E0">
        <w:rPr>
          <w:rFonts w:ascii="Times New Roman" w:hAnsi="Times New Roman" w:cs="Times New Roman"/>
          <w:sz w:val="24"/>
          <w:szCs w:val="24"/>
        </w:rPr>
        <w:t>The normalized reward curves almost overlap near their peaks, showing that systems of very different sizes achieve nearly the same fraction of their own maximum reward at similar ε values. This suggests that the balance between learning new arms and avoiding unnecessary collisions scales consistently. The slight downward drift in best ε for larger n may indicate that as the number of available arms increases, agents can rely slightly more on exploitation once initial learning has occurred, but the effect is small.</w:t>
      </w:r>
    </w:p>
    <w:p w14:paraId="0C6BB05C" w14:textId="3950DDC0" w:rsidR="001B40E0" w:rsidRPr="001B40E0" w:rsidRDefault="001B40E0" w:rsidP="001B40E0">
      <w:pPr>
        <w:jc w:val="both"/>
        <w:rPr>
          <w:rFonts w:ascii="Times New Roman" w:hAnsi="Times New Roman" w:cs="Times New Roman"/>
          <w:sz w:val="24"/>
          <w:szCs w:val="24"/>
        </w:rPr>
      </w:pPr>
      <w:r w:rsidRPr="001B40E0">
        <w:rPr>
          <w:rFonts w:ascii="Times New Roman" w:hAnsi="Times New Roman" w:cs="Times New Roman"/>
          <w:sz w:val="24"/>
          <w:szCs w:val="24"/>
        </w:rPr>
        <w:t>Collision-rate results also show a common pattern across all system sizes. Collisions are maximal at ε = 0 because agents become trapped on the same high-value arms, then fall sharply when exploration is introduced, and rise again when ε becomes too large because random choices create unnecessary overlap. The reward-maximizing ε occurs in the region where collisions are reduced substantially but exploration is not yet excessive.</w:t>
      </w:r>
    </w:p>
    <w:p w14:paraId="74D0186C" w14:textId="6E57EDFB" w:rsidR="001B40E0" w:rsidRPr="001B40E0" w:rsidRDefault="001B40E0" w:rsidP="001B40E0">
      <w:pPr>
        <w:jc w:val="both"/>
        <w:rPr>
          <w:rFonts w:ascii="Times New Roman" w:hAnsi="Times New Roman" w:cs="Times New Roman"/>
          <w:sz w:val="24"/>
          <w:szCs w:val="24"/>
        </w:rPr>
      </w:pPr>
      <w:r w:rsidRPr="001B40E0">
        <w:rPr>
          <w:rFonts w:ascii="Times New Roman" w:hAnsi="Times New Roman" w:cs="Times New Roman"/>
          <w:sz w:val="24"/>
          <w:szCs w:val="24"/>
        </w:rPr>
        <w:t>Average reward per agent increases with larger configurations because the reward landscape expands with n in the current arm-generation design. However, after normalization, the same underlying behavioural pattern remains visible. This means the absolute rewards differ by construction, but the strategic effect of ε is comparable across scales.</w:t>
      </w:r>
    </w:p>
    <w:p w14:paraId="0715102C" w14:textId="3E51B137" w:rsidR="001B40E0" w:rsidRPr="001B40E0" w:rsidRDefault="001B40E0" w:rsidP="001B40E0">
      <w:pPr>
        <w:jc w:val="both"/>
        <w:rPr>
          <w:rFonts w:ascii="Times New Roman" w:hAnsi="Times New Roman" w:cs="Times New Roman"/>
          <w:sz w:val="24"/>
          <w:szCs w:val="24"/>
        </w:rPr>
      </w:pPr>
      <w:r w:rsidRPr="001B40E0">
        <w:rPr>
          <w:rFonts w:ascii="Times New Roman" w:hAnsi="Times New Roman" w:cs="Times New Roman"/>
          <w:sz w:val="24"/>
          <w:szCs w:val="24"/>
        </w:rPr>
        <w:t>Reward inequality is highest at very low ε and declines steadily as ε increases. This indicates that limited exploration allows some agents to monopolize strong arms, whereas moderate exploration distributes access more evenly across the population. Therefore, the same ε region that maximizes efficiency also improves fairness relative to purely greedy behaviour.</w:t>
      </w:r>
    </w:p>
    <w:p w14:paraId="381E823B" w14:textId="4E1A0A14" w:rsidR="001B40E0" w:rsidRPr="00ED27EF" w:rsidRDefault="001B40E0" w:rsidP="001B40E0">
      <w:pPr>
        <w:jc w:val="both"/>
        <w:rPr>
          <w:rFonts w:ascii="Times New Roman" w:hAnsi="Times New Roman" w:cs="Times New Roman"/>
          <w:sz w:val="24"/>
          <w:szCs w:val="24"/>
        </w:rPr>
      </w:pPr>
      <w:r w:rsidRPr="001B40E0">
        <w:rPr>
          <w:rFonts w:ascii="Times New Roman" w:hAnsi="Times New Roman" w:cs="Times New Roman"/>
          <w:sz w:val="24"/>
          <w:szCs w:val="24"/>
        </w:rPr>
        <w:t>Overall, this experiment provides strong evidence that under linear collision sharing and a fixed 1:3 crowding ratio, the optimal exploration rate is approximately scale-invariant. A moderate ε around 0.07–0.08 appears to be a robust operating point from very small to substantially larger systems. This is an important result because it suggests that tuning ε on small systems may generalize well to much larger decentralized environments.</w:t>
      </w:r>
    </w:p>
    <w:sectPr w:rsidR="001B40E0" w:rsidRPr="00ED2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6A3"/>
    <w:rsid w:val="000D08C7"/>
    <w:rsid w:val="001B40E0"/>
    <w:rsid w:val="00214066"/>
    <w:rsid w:val="00333832"/>
    <w:rsid w:val="005461D2"/>
    <w:rsid w:val="005C19C7"/>
    <w:rsid w:val="005D31DE"/>
    <w:rsid w:val="005D7CC5"/>
    <w:rsid w:val="00636ECB"/>
    <w:rsid w:val="008843D9"/>
    <w:rsid w:val="008E5495"/>
    <w:rsid w:val="0091044F"/>
    <w:rsid w:val="009B114C"/>
    <w:rsid w:val="00AC6C13"/>
    <w:rsid w:val="00C2652C"/>
    <w:rsid w:val="00C65609"/>
    <w:rsid w:val="00C81204"/>
    <w:rsid w:val="00CB56A3"/>
    <w:rsid w:val="00D773B8"/>
    <w:rsid w:val="00E16C20"/>
    <w:rsid w:val="00ED27EF"/>
    <w:rsid w:val="00F72B14"/>
    <w:rsid w:val="00FC4E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B03FE"/>
  <w15:chartTrackingRefBased/>
  <w15:docId w15:val="{B6C54076-10F6-430B-920C-C12EA052F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5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5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5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5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6A3"/>
    <w:rPr>
      <w:rFonts w:eastAsiaTheme="majorEastAsia" w:cstheme="majorBidi"/>
      <w:color w:val="272727" w:themeColor="text1" w:themeTint="D8"/>
    </w:rPr>
  </w:style>
  <w:style w:type="paragraph" w:styleId="Title">
    <w:name w:val="Title"/>
    <w:basedOn w:val="Normal"/>
    <w:next w:val="Normal"/>
    <w:link w:val="TitleChar"/>
    <w:uiPriority w:val="10"/>
    <w:qFormat/>
    <w:rsid w:val="00CB5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6A3"/>
    <w:pPr>
      <w:spacing w:before="160"/>
      <w:jc w:val="center"/>
    </w:pPr>
    <w:rPr>
      <w:i/>
      <w:iCs/>
      <w:color w:val="404040" w:themeColor="text1" w:themeTint="BF"/>
    </w:rPr>
  </w:style>
  <w:style w:type="character" w:customStyle="1" w:styleId="QuoteChar">
    <w:name w:val="Quote Char"/>
    <w:basedOn w:val="DefaultParagraphFont"/>
    <w:link w:val="Quote"/>
    <w:uiPriority w:val="29"/>
    <w:rsid w:val="00CB56A3"/>
    <w:rPr>
      <w:i/>
      <w:iCs/>
      <w:color w:val="404040" w:themeColor="text1" w:themeTint="BF"/>
    </w:rPr>
  </w:style>
  <w:style w:type="paragraph" w:styleId="ListParagraph">
    <w:name w:val="List Paragraph"/>
    <w:basedOn w:val="Normal"/>
    <w:uiPriority w:val="34"/>
    <w:qFormat/>
    <w:rsid w:val="00CB56A3"/>
    <w:pPr>
      <w:ind w:left="720"/>
      <w:contextualSpacing/>
    </w:pPr>
  </w:style>
  <w:style w:type="character" w:styleId="IntenseEmphasis">
    <w:name w:val="Intense Emphasis"/>
    <w:basedOn w:val="DefaultParagraphFont"/>
    <w:uiPriority w:val="21"/>
    <w:qFormat/>
    <w:rsid w:val="00CB56A3"/>
    <w:rPr>
      <w:i/>
      <w:iCs/>
      <w:color w:val="2F5496" w:themeColor="accent1" w:themeShade="BF"/>
    </w:rPr>
  </w:style>
  <w:style w:type="paragraph" w:styleId="IntenseQuote">
    <w:name w:val="Intense Quote"/>
    <w:basedOn w:val="Normal"/>
    <w:next w:val="Normal"/>
    <w:link w:val="IntenseQuoteChar"/>
    <w:uiPriority w:val="30"/>
    <w:qFormat/>
    <w:rsid w:val="00CB5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6A3"/>
    <w:rPr>
      <w:i/>
      <w:iCs/>
      <w:color w:val="2F5496" w:themeColor="accent1" w:themeShade="BF"/>
    </w:rPr>
  </w:style>
  <w:style w:type="character" w:styleId="IntenseReference">
    <w:name w:val="Intense Reference"/>
    <w:basedOn w:val="DefaultParagraphFont"/>
    <w:uiPriority w:val="32"/>
    <w:qFormat/>
    <w:rsid w:val="00CB56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luca</dc:creator>
  <cp:keywords/>
  <dc:description/>
  <cp:lastModifiedBy>eftimie luca</cp:lastModifiedBy>
  <cp:revision>10</cp:revision>
  <dcterms:created xsi:type="dcterms:W3CDTF">2026-04-15T11:02:00Z</dcterms:created>
  <dcterms:modified xsi:type="dcterms:W3CDTF">2026-04-15T12:16:00Z</dcterms:modified>
</cp:coreProperties>
</file>